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70BEC" w14:textId="42CD294B" w:rsidR="0043746E" w:rsidRPr="00D85472" w:rsidRDefault="00AB0DA8" w:rsidP="00091EDC">
      <w:pPr>
        <w:spacing w:after="0" w:line="240" w:lineRule="auto"/>
        <w:rPr>
          <w:color w:val="000000"/>
          <w:sz w:val="16"/>
          <w:szCs w:val="18"/>
          <w:lang w:val="en-GB"/>
        </w:rPr>
      </w:pPr>
      <w:r>
        <w:rPr>
          <w:rFonts w:eastAsia="Times New Roman" w:cs="Times New Roman"/>
          <w:b/>
          <w:sz w:val="28"/>
          <w:lang w:val="en-GB" w:eastAsia="cs-CZ"/>
        </w:rPr>
        <w:t xml:space="preserve">The Effect of </w:t>
      </w:r>
      <w:r w:rsidR="0043746E" w:rsidRPr="00D85472">
        <w:rPr>
          <w:rFonts w:eastAsia="Times New Roman" w:cs="Times New Roman"/>
          <w:b/>
          <w:sz w:val="28"/>
          <w:lang w:val="en-GB" w:eastAsia="cs-CZ"/>
        </w:rPr>
        <w:t xml:space="preserve">Thermal Insulation in </w:t>
      </w:r>
      <w:r>
        <w:rPr>
          <w:rFonts w:eastAsia="Times New Roman" w:cs="Times New Roman"/>
          <w:b/>
          <w:sz w:val="28"/>
          <w:lang w:val="en-GB" w:eastAsia="cs-CZ"/>
        </w:rPr>
        <w:t>M</w:t>
      </w:r>
      <w:r w:rsidRPr="00AB0DA8">
        <w:rPr>
          <w:rFonts w:eastAsia="Times New Roman" w:cs="Times New Roman"/>
          <w:b/>
          <w:sz w:val="28"/>
          <w:lang w:val="en-GB" w:eastAsia="cs-CZ"/>
        </w:rPr>
        <w:t xml:space="preserve">ulti-family </w:t>
      </w:r>
      <w:r>
        <w:rPr>
          <w:rFonts w:eastAsia="Times New Roman" w:cs="Times New Roman"/>
          <w:b/>
          <w:sz w:val="28"/>
          <w:lang w:val="en-GB" w:eastAsia="cs-CZ"/>
        </w:rPr>
        <w:t>A</w:t>
      </w:r>
      <w:r w:rsidRPr="00AB0DA8">
        <w:rPr>
          <w:rFonts w:eastAsia="Times New Roman" w:cs="Times New Roman"/>
          <w:b/>
          <w:sz w:val="28"/>
          <w:lang w:val="en-GB" w:eastAsia="cs-CZ"/>
        </w:rPr>
        <w:t xml:space="preserve">partment </w:t>
      </w:r>
      <w:r>
        <w:rPr>
          <w:rFonts w:eastAsia="Times New Roman" w:cs="Times New Roman"/>
          <w:b/>
          <w:sz w:val="28"/>
          <w:lang w:val="en-GB" w:eastAsia="cs-CZ"/>
        </w:rPr>
        <w:t>B</w:t>
      </w:r>
      <w:r w:rsidRPr="00AB0DA8">
        <w:rPr>
          <w:rFonts w:eastAsia="Times New Roman" w:cs="Times New Roman"/>
          <w:b/>
          <w:sz w:val="28"/>
          <w:lang w:val="en-GB" w:eastAsia="cs-CZ"/>
        </w:rPr>
        <w:t>uildings</w:t>
      </w:r>
      <w:r>
        <w:rPr>
          <w:rFonts w:eastAsia="Times New Roman" w:cs="Times New Roman"/>
          <w:b/>
          <w:sz w:val="28"/>
          <w:lang w:val="en-GB" w:eastAsia="cs-CZ"/>
        </w:rPr>
        <w:t xml:space="preserve"> on </w:t>
      </w:r>
      <w:r w:rsidR="0043746E" w:rsidRPr="00D85472">
        <w:rPr>
          <w:rFonts w:eastAsia="Times New Roman" w:cs="Times New Roman"/>
          <w:b/>
          <w:sz w:val="28"/>
          <w:lang w:val="en-GB" w:eastAsia="cs-CZ"/>
        </w:rPr>
        <w:t>Energy Savings</w:t>
      </w:r>
      <w:r w:rsidR="0043746E" w:rsidRPr="00D85472">
        <w:rPr>
          <w:color w:val="000000"/>
          <w:sz w:val="16"/>
          <w:szCs w:val="18"/>
          <w:lang w:val="en-GB"/>
        </w:rPr>
        <w:t xml:space="preserve"> </w:t>
      </w:r>
    </w:p>
    <w:p w14:paraId="429709F5" w14:textId="77777777" w:rsidR="004D2925" w:rsidRPr="00D85472" w:rsidRDefault="004D2925" w:rsidP="00091EDC">
      <w:pPr>
        <w:spacing w:after="0" w:line="240" w:lineRule="auto"/>
        <w:rPr>
          <w:color w:val="000000"/>
          <w:sz w:val="24"/>
          <w:szCs w:val="18"/>
          <w:lang w:val="en-GB"/>
        </w:rPr>
      </w:pPr>
    </w:p>
    <w:p w14:paraId="448F222E" w14:textId="25256A27" w:rsidR="0043746E" w:rsidRPr="00D85472" w:rsidRDefault="0043746E" w:rsidP="00091EDC">
      <w:pPr>
        <w:spacing w:after="0" w:line="240" w:lineRule="auto"/>
        <w:rPr>
          <w:color w:val="000000"/>
          <w:sz w:val="24"/>
          <w:szCs w:val="18"/>
          <w:lang w:val="en-GB"/>
        </w:rPr>
      </w:pPr>
      <w:bookmarkStart w:id="0" w:name="_GoBack"/>
      <w:bookmarkEnd w:id="0"/>
      <w:r w:rsidRPr="00D85472">
        <w:rPr>
          <w:color w:val="000000"/>
          <w:sz w:val="24"/>
          <w:szCs w:val="18"/>
          <w:lang w:val="en-GB"/>
        </w:rPr>
        <w:t xml:space="preserve">Lucie </w:t>
      </w:r>
      <w:r w:rsidR="004D2925" w:rsidRPr="00D85472">
        <w:rPr>
          <w:color w:val="000000"/>
          <w:sz w:val="24"/>
          <w:szCs w:val="18"/>
          <w:lang w:val="en-GB"/>
        </w:rPr>
        <w:t xml:space="preserve">Častorálová, </w:t>
      </w:r>
      <w:r w:rsidRPr="00D85472">
        <w:rPr>
          <w:color w:val="000000"/>
          <w:sz w:val="24"/>
          <w:szCs w:val="18"/>
          <w:lang w:val="en-GB"/>
        </w:rPr>
        <w:t>Milan Ščasný</w:t>
      </w:r>
    </w:p>
    <w:p w14:paraId="6AE7FAF9" w14:textId="77777777" w:rsidR="004D2925" w:rsidRPr="00D85472" w:rsidRDefault="004D2925" w:rsidP="00091EDC">
      <w:pPr>
        <w:spacing w:after="0" w:line="240" w:lineRule="auto"/>
        <w:jc w:val="both"/>
        <w:rPr>
          <w:rFonts w:eastAsiaTheme="minorEastAsia" w:cs="Times New Roman"/>
          <w:lang w:val="en-GB"/>
        </w:rPr>
      </w:pPr>
    </w:p>
    <w:p w14:paraId="3A7480E5" w14:textId="77777777" w:rsidR="00D85472" w:rsidRPr="00D85472" w:rsidRDefault="00D85472" w:rsidP="00091EDC">
      <w:pPr>
        <w:spacing w:after="0" w:line="240" w:lineRule="auto"/>
        <w:jc w:val="both"/>
        <w:rPr>
          <w:rFonts w:eastAsiaTheme="minorEastAsia" w:cs="Times New Roman"/>
          <w:lang w:val="en-GB"/>
        </w:rPr>
      </w:pPr>
    </w:p>
    <w:p w14:paraId="2AE7F19C" w14:textId="77777777" w:rsidR="00D85472" w:rsidRPr="00D85472" w:rsidRDefault="00D85472" w:rsidP="00091EDC">
      <w:pPr>
        <w:spacing w:after="0" w:line="240" w:lineRule="auto"/>
        <w:jc w:val="both"/>
        <w:rPr>
          <w:rFonts w:eastAsiaTheme="minorEastAsia" w:cs="Times New Roman"/>
          <w:lang w:val="en-GB"/>
        </w:rPr>
      </w:pPr>
      <w:r w:rsidRPr="00D85472">
        <w:rPr>
          <w:rFonts w:eastAsiaTheme="minorEastAsia" w:cs="Times New Roman"/>
          <w:lang w:val="en-GB"/>
        </w:rPr>
        <w:t>Abstract</w:t>
      </w:r>
    </w:p>
    <w:p w14:paraId="423305DB" w14:textId="77777777" w:rsidR="00D85472" w:rsidRPr="00D85472" w:rsidRDefault="00D85472" w:rsidP="00091EDC">
      <w:pPr>
        <w:spacing w:after="0" w:line="240" w:lineRule="auto"/>
        <w:jc w:val="both"/>
        <w:rPr>
          <w:rFonts w:eastAsiaTheme="minorEastAsia" w:cs="Times New Roman"/>
          <w:lang w:val="en-GB"/>
        </w:rPr>
      </w:pPr>
    </w:p>
    <w:p w14:paraId="10BB831F" w14:textId="24AD9561" w:rsidR="00D85472" w:rsidRPr="00D85472" w:rsidRDefault="0043746E" w:rsidP="00D85472">
      <w:pPr>
        <w:spacing w:after="0" w:line="240" w:lineRule="auto"/>
        <w:jc w:val="both"/>
        <w:rPr>
          <w:color w:val="000000"/>
          <w:lang w:val="en-GB"/>
        </w:rPr>
      </w:pPr>
      <w:r w:rsidRPr="00D85472">
        <w:rPr>
          <w:rFonts w:eastAsiaTheme="minorEastAsia" w:cs="Times New Roman"/>
          <w:lang w:val="en-GB"/>
        </w:rPr>
        <w:t>The goal of this paper is to analyse the energy efficiency of thermal insulation in multi-family apartment buildings insulated between 2006 and 2012 in the Czech Republic. Thermal insulation is one of the basic steps to achieve low-carbon energy system since energy consumption of residential buildings forms almost one third of total national energy consumption nowadays. This research aims at supporting the idea of energy savings induced by thermal insulation, by the econometric analysis of the collected data from already insulated multi-family apartment buildings. In specific terms, we study the relationship between the introduction of thermal insulation and energy consumption. In financial terms, it presents the effect of investment into the insulation project and the energy savings.</w:t>
      </w:r>
      <w:r w:rsidR="00D85472" w:rsidRPr="00D85472">
        <w:rPr>
          <w:rFonts w:eastAsiaTheme="minorEastAsia" w:cs="Times New Roman"/>
          <w:lang w:val="en-GB"/>
        </w:rPr>
        <w:t xml:space="preserve"> </w:t>
      </w:r>
      <w:r w:rsidR="00D85472" w:rsidRPr="00D85472">
        <w:rPr>
          <w:color w:val="000000"/>
          <w:lang w:val="en-GB"/>
        </w:rPr>
        <w:t xml:space="preserve">Our results suggest that the thermal insulation led to high energy savings. On average, the insulation resulted in energy savings of about 0.135 GJ per m2, or by 35 %.  Alternatively, our finding shows that each million CZK invested in thermal insulation resulted in energy savings of about 11 MJ per m2 or 21,500 CZK of financial saving each year. Even without discounting, these savings implies quite long payoff period, however. The government funding led to greater energy savings per million CZK invested. Since the average size of funded projects was much larger than not supported ones, it implies that the large-scale projects had greater potential for energy efficiency. Public programs introduced in the Czech Republic were then able to motivate the owners to explore greater potential of the large projects for energy efficiency. The public support provided in a form of lower interest rates of loans were more energy saving than all the other kinds of public grants. Our evidence also supports the notion that the energy savings are lower in those apartment buildings that were insulated at a later stage (after 2012), as oppose to the apartment buildings that were insulated earlier (2007-2011). Energy savings even increased in the second year after the insulation, but then remained at the same level (with the coefficient to be even negative but not significant). </w:t>
      </w:r>
    </w:p>
    <w:p w14:paraId="60941578" w14:textId="77777777" w:rsidR="004D2925" w:rsidRPr="00D85472" w:rsidRDefault="004D2925" w:rsidP="00091EDC">
      <w:pPr>
        <w:spacing w:after="0" w:line="240" w:lineRule="auto"/>
        <w:rPr>
          <w:color w:val="000000"/>
          <w:lang w:val="en-GB"/>
        </w:rPr>
      </w:pPr>
    </w:p>
    <w:p w14:paraId="1DBBA198" w14:textId="77777777" w:rsidR="00D85472" w:rsidRPr="00D85472" w:rsidRDefault="00D85472">
      <w:pPr>
        <w:rPr>
          <w:color w:val="000000"/>
          <w:lang w:val="en-GB"/>
        </w:rPr>
      </w:pPr>
      <w:r w:rsidRPr="00D85472">
        <w:rPr>
          <w:color w:val="000000"/>
          <w:lang w:val="en-GB"/>
        </w:rPr>
        <w:br w:type="page"/>
      </w:r>
    </w:p>
    <w:p w14:paraId="02723CF1" w14:textId="324860F0" w:rsidR="0043746E" w:rsidRPr="00D85472" w:rsidRDefault="0043746E" w:rsidP="00D85472">
      <w:pPr>
        <w:spacing w:after="0" w:line="240" w:lineRule="auto"/>
        <w:rPr>
          <w:color w:val="000000"/>
          <w:lang w:val="en-GB"/>
        </w:rPr>
      </w:pPr>
      <w:r w:rsidRPr="00D85472">
        <w:rPr>
          <w:color w:val="000000"/>
          <w:lang w:val="en-GB"/>
        </w:rPr>
        <w:lastRenderedPageBreak/>
        <w:t>Data</w:t>
      </w:r>
    </w:p>
    <w:p w14:paraId="2E62314B" w14:textId="77777777" w:rsidR="004D2925" w:rsidRPr="00D85472" w:rsidRDefault="004D2925" w:rsidP="00D85472">
      <w:pPr>
        <w:spacing w:after="0" w:line="240" w:lineRule="auto"/>
        <w:rPr>
          <w:color w:val="000000"/>
          <w:lang w:val="en-GB"/>
        </w:rPr>
      </w:pPr>
    </w:p>
    <w:p w14:paraId="3E3AA4D5" w14:textId="77777777" w:rsidR="0043746E" w:rsidRPr="00D85472" w:rsidRDefault="0043746E" w:rsidP="00D85472">
      <w:pPr>
        <w:spacing w:after="0" w:line="240" w:lineRule="auto"/>
        <w:rPr>
          <w:color w:val="000000"/>
          <w:lang w:val="en-GB"/>
        </w:rPr>
      </w:pPr>
      <w:r w:rsidRPr="00D85472">
        <w:rPr>
          <w:color w:val="000000"/>
          <w:lang w:val="en-GB"/>
        </w:rPr>
        <w:t xml:space="preserve">The panel data used in this research were collected mostly from the members of the associations of unit owners, and from the companies contracted to manage the apartment buildings in question. </w:t>
      </w:r>
    </w:p>
    <w:p w14:paraId="0809C5AB" w14:textId="77777777" w:rsidR="004D2925" w:rsidRPr="00D85472" w:rsidRDefault="004D2925" w:rsidP="00D85472">
      <w:pPr>
        <w:spacing w:after="0" w:line="240" w:lineRule="auto"/>
        <w:jc w:val="both"/>
        <w:rPr>
          <w:rFonts w:cs="Times New Roman"/>
          <w:lang w:val="en-GB"/>
        </w:rPr>
      </w:pPr>
    </w:p>
    <w:p w14:paraId="220A9693" w14:textId="77777777" w:rsidR="0043746E" w:rsidRPr="00D85472" w:rsidRDefault="0043746E" w:rsidP="00D85472">
      <w:pPr>
        <w:spacing w:after="0" w:line="240" w:lineRule="auto"/>
        <w:jc w:val="both"/>
        <w:rPr>
          <w:rFonts w:cs="Times New Roman"/>
          <w:lang w:val="en-GB"/>
        </w:rPr>
      </w:pPr>
      <w:r w:rsidRPr="00D85472">
        <w:rPr>
          <w:rFonts w:cs="Times New Roman"/>
          <w:lang w:val="en-GB"/>
        </w:rPr>
        <w:t xml:space="preserve">Our research aimed at already insulated apartment buildings during the past 10 years having information on energy consumption at least one heating season back. It was necessary to obtain energy consumption for heating at least one year before and one year after the insulation was installed as we want to observe the effect of insulation on energy savings. Other key variables included are heated floor area (square metres), total financial investment and subsidy, refurbishment actually realized, and the year the installation of thermal insulation was finished. </w:t>
      </w:r>
    </w:p>
    <w:p w14:paraId="79F0E62B" w14:textId="77777777" w:rsidR="004D2925" w:rsidRPr="00D85472" w:rsidRDefault="004D2925" w:rsidP="00D85472">
      <w:pPr>
        <w:spacing w:after="0" w:line="240" w:lineRule="auto"/>
        <w:jc w:val="both"/>
        <w:rPr>
          <w:rFonts w:cs="Times New Roman"/>
          <w:lang w:val="en-GB"/>
        </w:rPr>
      </w:pPr>
    </w:p>
    <w:p w14:paraId="3A56C5EC" w14:textId="5BE7AE3F" w:rsidR="0043746E" w:rsidRPr="00D85472" w:rsidRDefault="0043746E" w:rsidP="00D85472">
      <w:pPr>
        <w:spacing w:after="0" w:line="240" w:lineRule="auto"/>
        <w:jc w:val="both"/>
        <w:rPr>
          <w:rFonts w:cs="Times New Roman"/>
          <w:lang w:val="en-GB"/>
        </w:rPr>
      </w:pPr>
      <w:r w:rsidRPr="00D85472">
        <w:rPr>
          <w:rFonts w:cs="Times New Roman"/>
          <w:lang w:val="en-GB"/>
        </w:rPr>
        <w:t>Data used in this econometric analysis were collected through three main sources of survey– email questionnaire, face-to face interviews with heads of SVJ, and facility management companies’ documentation for insulated SVJs.</w:t>
      </w:r>
      <w:r w:rsidRPr="00D85472">
        <w:rPr>
          <w:rStyle w:val="Znakapoznpodarou"/>
          <w:rFonts w:cs="Times New Roman"/>
          <w:lang w:val="en-GB"/>
        </w:rPr>
        <w:footnoteReference w:id="1"/>
      </w:r>
      <w:r w:rsidRPr="00D85472">
        <w:rPr>
          <w:rFonts w:cs="Times New Roman"/>
          <w:lang w:val="en-GB"/>
        </w:rPr>
        <w:t xml:space="preserve"> Altogether, we succeeded to gather up energy consumption data for 45 insulated apartment buildings over 6 year period including 3 years before and 3 years after the insulation</w:t>
      </w:r>
      <w:r w:rsidR="00DA6A01" w:rsidRPr="00D85472">
        <w:rPr>
          <w:rFonts w:cs="Times New Roman"/>
          <w:lang w:val="en-GB"/>
        </w:rPr>
        <w:t>, see the descriptive statistics in Table</w:t>
      </w:r>
      <w:r w:rsidRPr="00D85472">
        <w:rPr>
          <w:rFonts w:cs="Times New Roman"/>
          <w:lang w:val="en-GB"/>
        </w:rPr>
        <w:t>.</w:t>
      </w:r>
    </w:p>
    <w:p w14:paraId="29BAF08A" w14:textId="77777777" w:rsidR="004D2925" w:rsidRPr="00D85472" w:rsidRDefault="004D2925" w:rsidP="00D85472">
      <w:pPr>
        <w:spacing w:after="0" w:line="240" w:lineRule="auto"/>
        <w:jc w:val="both"/>
        <w:rPr>
          <w:rFonts w:eastAsiaTheme="minorEastAsia" w:cs="Times New Roman"/>
          <w:lang w:val="en-GB"/>
        </w:rPr>
      </w:pPr>
    </w:p>
    <w:p w14:paraId="0038D47A" w14:textId="4BA3DE0F" w:rsidR="00DA6A01" w:rsidRPr="00D85472" w:rsidRDefault="0043746E" w:rsidP="00D85472">
      <w:pPr>
        <w:spacing w:after="0" w:line="240" w:lineRule="auto"/>
        <w:jc w:val="both"/>
        <w:rPr>
          <w:rFonts w:eastAsiaTheme="minorEastAsia" w:cs="Times New Roman"/>
          <w:lang w:val="en-GB"/>
        </w:rPr>
      </w:pPr>
      <w:r w:rsidRPr="00D85472">
        <w:rPr>
          <w:rFonts w:eastAsiaTheme="minorEastAsia" w:cs="Times New Roman"/>
          <w:lang w:val="en-GB"/>
        </w:rPr>
        <w:t xml:space="preserve">We define </w:t>
      </w:r>
      <w:r w:rsidRPr="00D85472">
        <w:rPr>
          <w:rFonts w:eastAsiaTheme="minorEastAsia" w:cs="Times New Roman"/>
          <w:i/>
          <w:lang w:val="en-GB"/>
        </w:rPr>
        <w:t>annual energy consumption on heating</w:t>
      </w:r>
      <w:r w:rsidRPr="00D85472">
        <w:rPr>
          <w:rFonts w:eastAsiaTheme="minorEastAsia" w:cs="Times New Roman"/>
          <w:lang w:val="en-GB"/>
        </w:rPr>
        <w:t xml:space="preserve"> (AECH) as actual energy consumption recorded over the calendar year starting on 1th January and ending on 31th December of each respective year and is expressed in gigajoules (GJ). </w:t>
      </w:r>
      <w:r w:rsidRPr="00D85472">
        <w:rPr>
          <w:rFonts w:cs="Times New Roman"/>
          <w:lang w:val="en-GB"/>
        </w:rPr>
        <w:t xml:space="preserve">In order to control for different weather conditions every year we normalize energy consumption by the </w:t>
      </w:r>
      <w:r w:rsidRPr="00D85472">
        <w:rPr>
          <w:rFonts w:cs="Times New Roman"/>
          <w:i/>
          <w:lang w:val="en-GB"/>
        </w:rPr>
        <w:t xml:space="preserve">heating degree days </w:t>
      </w:r>
      <w:r w:rsidRPr="00D85472">
        <w:rPr>
          <w:rFonts w:cs="Times New Roman"/>
          <w:lang w:val="en-GB"/>
        </w:rPr>
        <w:t>(HDD).</w:t>
      </w:r>
      <w:r w:rsidR="00DA6A01" w:rsidRPr="00D85472">
        <w:rPr>
          <w:rFonts w:cs="Times New Roman"/>
          <w:lang w:val="en-GB"/>
        </w:rPr>
        <w:t xml:space="preserve"> To obtain the good measure of energy savings, we convert AECH to </w:t>
      </w:r>
      <w:r w:rsidR="00DA6A01" w:rsidRPr="00D85472">
        <w:rPr>
          <w:rFonts w:cs="Times New Roman"/>
          <w:i/>
          <w:lang w:val="en-GB"/>
        </w:rPr>
        <w:t>normalized annual energy consumption on heating</w:t>
      </w:r>
      <w:r w:rsidR="00DA6A01" w:rsidRPr="00D85472">
        <w:rPr>
          <w:rFonts w:cs="Times New Roman"/>
          <w:lang w:val="en-GB"/>
        </w:rPr>
        <w:t xml:space="preserve"> (NAECH), </w:t>
      </w:r>
      <w:proofErr w:type="gramStart"/>
      <w:r w:rsidR="00DA6A01" w:rsidRPr="00D85472">
        <w:rPr>
          <w:rFonts w:cs="Times New Roman"/>
          <w:lang w:val="en-GB"/>
        </w:rPr>
        <w:t xml:space="preserve">as </w:t>
      </w:r>
      <w:proofErr w:type="gramEnd"/>
      <m:oMath>
        <m:r>
          <w:rPr>
            <w:rFonts w:ascii="Cambria Math" w:hAnsi="Cambria Math" w:cs="Times New Roman"/>
            <w:lang w:val="en-GB"/>
          </w:rPr>
          <m:t>NAECH=AECH×</m:t>
        </m:r>
        <m:f>
          <m:fPr>
            <m:ctrlPr>
              <w:rPr>
                <w:rFonts w:ascii="Cambria Math" w:hAnsi="Cambria Math" w:cs="Times New Roman"/>
                <w:i/>
                <w:lang w:val="en-GB"/>
              </w:rPr>
            </m:ctrlPr>
          </m:fPr>
          <m:num>
            <m:sSubSup>
              <m:sSubSupPr>
                <m:ctrlPr>
                  <w:rPr>
                    <w:rFonts w:ascii="Cambria Math" w:hAnsi="Cambria Math" w:cs="Times New Roman"/>
                    <w:i/>
                    <w:lang w:val="en-GB"/>
                  </w:rPr>
                </m:ctrlPr>
              </m:sSubSupPr>
              <m:e>
                <m:r>
                  <w:rPr>
                    <w:rFonts w:ascii="Cambria Math" w:hAnsi="Cambria Math" w:cs="Times New Roman"/>
                    <w:lang w:val="en-GB"/>
                  </w:rPr>
                  <m:t>D</m:t>
                </m:r>
              </m:e>
              <m:sub>
                <m:r>
                  <w:rPr>
                    <w:rFonts w:ascii="Cambria Math" w:hAnsi="Cambria Math" w:cs="Times New Roman"/>
                    <w:lang w:val="en-GB"/>
                  </w:rPr>
                  <m:t>N</m:t>
                </m:r>
              </m:sub>
              <m:sup>
                <m:r>
                  <w:rPr>
                    <w:rFonts w:ascii="Cambria Math" w:hAnsi="Cambria Math" w:cs="Times New Roman"/>
                    <w:lang w:val="en-GB"/>
                  </w:rPr>
                  <m:t>°</m:t>
                </m:r>
              </m:sup>
            </m:sSubSup>
          </m:num>
          <m:den>
            <m:sSubSup>
              <m:sSubSupPr>
                <m:ctrlPr>
                  <w:rPr>
                    <w:rFonts w:ascii="Cambria Math" w:hAnsi="Cambria Math" w:cs="Times New Roman"/>
                    <w:i/>
                    <w:lang w:val="en-GB"/>
                  </w:rPr>
                </m:ctrlPr>
              </m:sSubSupPr>
              <m:e>
                <m:r>
                  <w:rPr>
                    <w:rFonts w:ascii="Cambria Math" w:hAnsi="Cambria Math" w:cs="Times New Roman"/>
                    <w:lang w:val="en-GB"/>
                  </w:rPr>
                  <m:t>D</m:t>
                </m:r>
              </m:e>
              <m:sub>
                <m:r>
                  <w:rPr>
                    <w:rFonts w:ascii="Cambria Math" w:hAnsi="Cambria Math" w:cs="Times New Roman"/>
                    <w:lang w:val="en-GB"/>
                  </w:rPr>
                  <m:t>A</m:t>
                </m:r>
              </m:sub>
              <m:sup>
                <m:r>
                  <w:rPr>
                    <w:rFonts w:ascii="Cambria Math" w:hAnsi="Cambria Math" w:cs="Times New Roman"/>
                    <w:lang w:val="en-GB"/>
                  </w:rPr>
                  <m:t>°</m:t>
                </m:r>
              </m:sup>
            </m:sSubSup>
          </m:den>
        </m:f>
      </m:oMath>
      <w:r w:rsidR="00DA6A01" w:rsidRPr="00D85472">
        <w:rPr>
          <w:rFonts w:eastAsiaTheme="minorEastAsia" w:cs="Times New Roman"/>
          <w:lang w:val="en-GB"/>
        </w:rPr>
        <w:t xml:space="preserve">, where </w:t>
      </w:r>
      <m:oMath>
        <m:sSubSup>
          <m:sSubSupPr>
            <m:ctrlPr>
              <w:rPr>
                <w:rFonts w:ascii="Cambria Math" w:hAnsi="Cambria Math" w:cs="Times New Roman"/>
                <w:i/>
                <w:lang w:val="en-GB"/>
              </w:rPr>
            </m:ctrlPr>
          </m:sSubSupPr>
          <m:e>
            <m:r>
              <w:rPr>
                <w:rFonts w:ascii="Cambria Math" w:hAnsi="Cambria Math" w:cs="Times New Roman"/>
                <w:lang w:val="en-GB"/>
              </w:rPr>
              <m:t>D</m:t>
            </m:r>
          </m:e>
          <m:sub>
            <m:r>
              <w:rPr>
                <w:rFonts w:ascii="Cambria Math" w:hAnsi="Cambria Math" w:cs="Times New Roman"/>
                <w:lang w:val="en-GB"/>
              </w:rPr>
              <m:t>N</m:t>
            </m:r>
          </m:sub>
          <m:sup>
            <m:r>
              <w:rPr>
                <w:rFonts w:ascii="Cambria Math" w:hAnsi="Cambria Math" w:cs="Times New Roman"/>
                <w:lang w:val="en-GB"/>
              </w:rPr>
              <m:t>°</m:t>
            </m:r>
          </m:sup>
        </m:sSubSup>
      </m:oMath>
      <w:r w:rsidR="00DA6A01" w:rsidRPr="00D85472">
        <w:rPr>
          <w:rFonts w:eastAsiaTheme="minorEastAsia" w:cs="Times New Roman"/>
          <w:lang w:val="en-GB"/>
        </w:rPr>
        <w:t xml:space="preserve"> stands for the long term average number of HDD in the given place over the year and </w:t>
      </w:r>
      <m:oMath>
        <m:sSubSup>
          <m:sSubSupPr>
            <m:ctrlPr>
              <w:rPr>
                <w:rFonts w:ascii="Cambria Math" w:hAnsi="Cambria Math" w:cs="Times New Roman"/>
                <w:i/>
                <w:lang w:val="en-GB"/>
              </w:rPr>
            </m:ctrlPr>
          </m:sSubSupPr>
          <m:e>
            <m:r>
              <w:rPr>
                <w:rFonts w:ascii="Cambria Math" w:hAnsi="Cambria Math" w:cs="Times New Roman"/>
                <w:lang w:val="en-GB"/>
              </w:rPr>
              <m:t>D</m:t>
            </m:r>
          </m:e>
          <m:sub>
            <m:r>
              <w:rPr>
                <w:rFonts w:ascii="Cambria Math" w:hAnsi="Cambria Math" w:cs="Times New Roman"/>
                <w:lang w:val="en-GB"/>
              </w:rPr>
              <m:t>A</m:t>
            </m:r>
          </m:sub>
          <m:sup>
            <m:r>
              <w:rPr>
                <w:rFonts w:ascii="Cambria Math" w:hAnsi="Cambria Math" w:cs="Times New Roman"/>
                <w:lang w:val="en-GB"/>
              </w:rPr>
              <m:t>°</m:t>
            </m:r>
          </m:sup>
        </m:sSubSup>
      </m:oMath>
      <w:r w:rsidR="00DA6A01" w:rsidRPr="00D85472">
        <w:rPr>
          <w:rFonts w:eastAsiaTheme="minorEastAsia" w:cs="Times New Roman"/>
          <w:lang w:val="en-GB"/>
        </w:rPr>
        <w:t xml:space="preserve"> is actual number of HDD in the considered heating season.</w:t>
      </w:r>
    </w:p>
    <w:p w14:paraId="03AAADC9" w14:textId="77777777" w:rsidR="004D2925" w:rsidRPr="00D85472" w:rsidRDefault="004D2925" w:rsidP="00D85472">
      <w:pPr>
        <w:spacing w:after="0" w:line="240" w:lineRule="auto"/>
        <w:jc w:val="both"/>
        <w:rPr>
          <w:rFonts w:cs="Times New Roman"/>
          <w:lang w:val="en-GB"/>
        </w:rPr>
      </w:pPr>
    </w:p>
    <w:p w14:paraId="2996BE22" w14:textId="495B6952" w:rsidR="00DA6A01" w:rsidRPr="00D85472" w:rsidRDefault="00DA6A01" w:rsidP="00D85472">
      <w:pPr>
        <w:spacing w:after="0" w:line="240" w:lineRule="auto"/>
        <w:jc w:val="both"/>
        <w:rPr>
          <w:rFonts w:cs="Times New Roman"/>
          <w:lang w:val="en-GB"/>
        </w:rPr>
      </w:pPr>
      <w:r w:rsidRPr="00D85472">
        <w:rPr>
          <w:rFonts w:cs="Times New Roman"/>
          <w:lang w:val="en-GB"/>
        </w:rPr>
        <w:t>Insulation is represented by eight possible options coding them by dummies. These options include: wall insulation, roof insulation, window replacement, plinth insulation, balcony reconstruction, cellar insulation, thermal insulation and other reconstruction that stands for smaller adjustments (33 % cases). Among all of these options, walls and roofs were repaired most often (in 88 % and 88 % cases, respectively) followed by windows replacement (75 % of cases), while reconstruction of balconies and cellars were performed least often (26 % and 13 % of buildings, respectively).</w:t>
      </w:r>
    </w:p>
    <w:p w14:paraId="45D9AEB8" w14:textId="77777777" w:rsidR="004D2925" w:rsidRPr="00D85472" w:rsidRDefault="004D2925" w:rsidP="00D85472">
      <w:pPr>
        <w:spacing w:after="0" w:line="240" w:lineRule="auto"/>
        <w:jc w:val="both"/>
        <w:rPr>
          <w:rFonts w:cs="Times New Roman"/>
          <w:lang w:val="en-GB"/>
        </w:rPr>
      </w:pPr>
    </w:p>
    <w:p w14:paraId="51DBFEB1" w14:textId="34BB446F" w:rsidR="00DA6A01" w:rsidRPr="00D85472" w:rsidRDefault="00DA6A01" w:rsidP="00D85472">
      <w:pPr>
        <w:spacing w:after="0" w:line="240" w:lineRule="auto"/>
        <w:jc w:val="both"/>
        <w:rPr>
          <w:rFonts w:cs="Times New Roman"/>
          <w:lang w:val="en-GB"/>
        </w:rPr>
      </w:pPr>
      <w:r w:rsidRPr="00D85472">
        <w:rPr>
          <w:rFonts w:cs="Times New Roman"/>
          <w:lang w:val="en-GB"/>
        </w:rPr>
        <w:t>The buildings areas are usually diverse and so to confront the buildings among themselves it is necessary to either relate consumption to the total flat area or volume measures (as normalised dependent variable) or to control for their effect (as predictors). In our case the square meter seems to be accurate as we need to compare energy consumption between SVJ with different floor area related to heating. We express NAECH per floor area that is specific energy consumption per year (</w:t>
      </w:r>
      <w:r w:rsidRPr="00D85472">
        <w:rPr>
          <w:rFonts w:cs="Times New Roman"/>
          <w:i/>
          <w:lang w:val="en-GB"/>
        </w:rPr>
        <w:t>SECA</w:t>
      </w:r>
      <w:r w:rsidRPr="00D85472">
        <w:rPr>
          <w:rFonts w:cs="Times New Roman"/>
          <w:lang w:val="en-GB"/>
        </w:rPr>
        <w:t>), see Figure</w:t>
      </w:r>
      <w:r w:rsidR="004D2925" w:rsidRPr="00D85472">
        <w:rPr>
          <w:rFonts w:cs="Times New Roman"/>
          <w:lang w:val="en-GB"/>
        </w:rPr>
        <w:t xml:space="preserve"> 1 and 2</w:t>
      </w:r>
      <w:r w:rsidRPr="00D85472">
        <w:rPr>
          <w:rFonts w:cs="Times New Roman"/>
          <w:lang w:val="en-GB"/>
        </w:rPr>
        <w:t>.</w:t>
      </w:r>
    </w:p>
    <w:p w14:paraId="52E77EFB" w14:textId="77777777" w:rsidR="00091EDC" w:rsidRPr="00D85472" w:rsidRDefault="00091EDC" w:rsidP="00D85472">
      <w:pPr>
        <w:spacing w:after="0" w:line="240" w:lineRule="auto"/>
        <w:jc w:val="both"/>
        <w:rPr>
          <w:rFonts w:cs="Times New Roman"/>
          <w:lang w:val="en-GB"/>
        </w:rPr>
      </w:pPr>
    </w:p>
    <w:p w14:paraId="2FC9EEFA" w14:textId="77777777" w:rsidR="00D85472" w:rsidRPr="00D85472" w:rsidRDefault="00D85472">
      <w:pPr>
        <w:rPr>
          <w:color w:val="000000"/>
          <w:lang w:val="en-GB"/>
        </w:rPr>
      </w:pPr>
      <w:r w:rsidRPr="00D85472">
        <w:rPr>
          <w:color w:val="000000"/>
          <w:lang w:val="en-GB"/>
        </w:rPr>
        <w:br w:type="page"/>
      </w:r>
    </w:p>
    <w:p w14:paraId="23C97E9A" w14:textId="3AA38FA1" w:rsidR="0043746E" w:rsidRPr="00D85472" w:rsidRDefault="0043746E" w:rsidP="00D85472">
      <w:pPr>
        <w:spacing w:after="0" w:line="240" w:lineRule="auto"/>
        <w:rPr>
          <w:color w:val="000000"/>
          <w:lang w:val="en-GB"/>
        </w:rPr>
      </w:pPr>
      <w:r w:rsidRPr="00D85472">
        <w:rPr>
          <w:color w:val="000000"/>
          <w:lang w:val="en-GB"/>
        </w:rPr>
        <w:t>Method</w:t>
      </w:r>
    </w:p>
    <w:p w14:paraId="5A7750C3" w14:textId="77777777" w:rsidR="004D2925" w:rsidRPr="00D85472" w:rsidRDefault="004D2925" w:rsidP="00D85472">
      <w:pPr>
        <w:spacing w:after="0" w:line="240" w:lineRule="auto"/>
        <w:rPr>
          <w:color w:val="000000"/>
          <w:lang w:val="en-GB"/>
        </w:rPr>
      </w:pPr>
    </w:p>
    <w:p w14:paraId="32E47BE8" w14:textId="6AD26069" w:rsidR="0043746E" w:rsidRPr="00D85472" w:rsidRDefault="0043746E" w:rsidP="00D85472">
      <w:pPr>
        <w:spacing w:after="0" w:line="240" w:lineRule="auto"/>
        <w:rPr>
          <w:color w:val="000000"/>
          <w:lang w:val="en-GB"/>
        </w:rPr>
      </w:pPr>
      <w:r w:rsidRPr="00D85472">
        <w:rPr>
          <w:color w:val="000000"/>
          <w:lang w:val="en-GB"/>
        </w:rPr>
        <w:t xml:space="preserve">These unique data are evaluated using the fixed effects model with cluster confirming that the insulation, investments and public funding had all significant and negative impact on the energy consumption in the buildings, when energy was adjusted for weather conditions. </w:t>
      </w:r>
    </w:p>
    <w:p w14:paraId="6FAD41F1" w14:textId="77777777" w:rsidR="004D2925" w:rsidRPr="00D85472" w:rsidRDefault="004D2925" w:rsidP="00D85472">
      <w:pPr>
        <w:spacing w:after="0" w:line="240" w:lineRule="auto"/>
        <w:jc w:val="both"/>
        <w:rPr>
          <w:rFonts w:cs="Times New Roman"/>
          <w:lang w:val="en-GB"/>
        </w:rPr>
      </w:pPr>
    </w:p>
    <w:p w14:paraId="065550D9" w14:textId="31FD7B1C" w:rsidR="00DA6A01" w:rsidRPr="00D85472" w:rsidRDefault="00DA6A01" w:rsidP="00D85472">
      <w:pPr>
        <w:spacing w:after="0" w:line="240" w:lineRule="auto"/>
        <w:jc w:val="both"/>
        <w:rPr>
          <w:rFonts w:cs="Times New Roman"/>
          <w:lang w:val="en-GB"/>
        </w:rPr>
      </w:pPr>
      <w:r w:rsidRPr="00D85472">
        <w:rPr>
          <w:rFonts w:cs="Times New Roman"/>
          <w:lang w:val="en-GB"/>
        </w:rPr>
        <w:t xml:space="preserve">As we observed </w:t>
      </w:r>
      <w:r w:rsidR="00B0048B" w:rsidRPr="00D85472">
        <w:rPr>
          <w:rFonts w:cs="Times New Roman"/>
          <w:lang w:val="en-GB"/>
        </w:rPr>
        <w:t>e</w:t>
      </w:r>
      <w:r w:rsidRPr="00D85472">
        <w:rPr>
          <w:rFonts w:cs="Times New Roman"/>
          <w:lang w:val="en-GB"/>
        </w:rPr>
        <w:t xml:space="preserve">nergy consumption of the 45 different apartment buildings (the </w:t>
      </w:r>
      <w:r w:rsidRPr="00D85472">
        <w:rPr>
          <w:rFonts w:cs="Times New Roman"/>
          <w:i/>
          <w:lang w:val="en-GB"/>
        </w:rPr>
        <w:t>cross-sectional</w:t>
      </w:r>
      <w:r w:rsidRPr="00D85472">
        <w:rPr>
          <w:rFonts w:cs="Times New Roman"/>
          <w:lang w:val="en-GB"/>
        </w:rPr>
        <w:t xml:space="preserve"> elements) over the six year time period (</w:t>
      </w:r>
      <w:r w:rsidRPr="00D85472">
        <w:rPr>
          <w:rFonts w:cs="Times New Roman"/>
          <w:i/>
          <w:lang w:val="en-GB"/>
        </w:rPr>
        <w:t>time dimension</w:t>
      </w:r>
      <w:r w:rsidRPr="00D85472">
        <w:rPr>
          <w:rFonts w:cs="Times New Roman"/>
          <w:lang w:val="en-GB"/>
        </w:rPr>
        <w:t xml:space="preserve">) we are using </w:t>
      </w:r>
      <w:r w:rsidRPr="00D85472">
        <w:rPr>
          <w:rFonts w:cs="Times New Roman"/>
          <w:i/>
          <w:lang w:val="en-GB"/>
        </w:rPr>
        <w:t>panel data</w:t>
      </w:r>
      <w:r w:rsidRPr="00D85472">
        <w:rPr>
          <w:rFonts w:cs="Times New Roman"/>
          <w:lang w:val="en-GB"/>
        </w:rPr>
        <w:t xml:space="preserve"> analysis. </w:t>
      </w:r>
      <w:r w:rsidRPr="00D85472">
        <w:rPr>
          <w:rFonts w:cs="Times New Roman"/>
          <w:i/>
          <w:lang w:val="en-GB"/>
        </w:rPr>
        <w:t>Panel data</w:t>
      </w:r>
      <w:r w:rsidRPr="00D85472">
        <w:rPr>
          <w:rFonts w:cs="Times New Roman"/>
          <w:lang w:val="en-GB"/>
        </w:rPr>
        <w:t xml:space="preserve"> allows exploring the effect of treatment, i.e. the implementation of a new energy saving technology, controlling for the effect of other explanatory variables on energy consumption at the same time thanks to the consecutive observations for each individual unit.</w:t>
      </w:r>
    </w:p>
    <w:p w14:paraId="64C7A7A5" w14:textId="77777777" w:rsidR="004D2925" w:rsidRPr="00D85472" w:rsidRDefault="004D2925" w:rsidP="00D85472">
      <w:pPr>
        <w:spacing w:after="0" w:line="240" w:lineRule="auto"/>
        <w:jc w:val="both"/>
        <w:rPr>
          <w:rFonts w:cs="Times New Roman"/>
          <w:lang w:val="en-GB"/>
        </w:rPr>
      </w:pPr>
    </w:p>
    <w:p w14:paraId="7F6FD3D4" w14:textId="7A4C326F" w:rsidR="00DA6A01" w:rsidRPr="00D85472" w:rsidRDefault="00DA6A01" w:rsidP="00D85472">
      <w:pPr>
        <w:spacing w:after="0" w:line="240" w:lineRule="auto"/>
        <w:jc w:val="both"/>
        <w:rPr>
          <w:rFonts w:cs="Times New Roman"/>
          <w:lang w:val="en-GB"/>
        </w:rPr>
      </w:pPr>
      <w:r w:rsidRPr="00D85472">
        <w:rPr>
          <w:rFonts w:cs="Times New Roman"/>
          <w:lang w:val="en-GB"/>
        </w:rPr>
        <w:t xml:space="preserve">In line with our prior expectations, we assume that the factors included in the vector </w:t>
      </w:r>
      <w:proofErr w:type="spellStart"/>
      <w:r w:rsidRPr="00D85472">
        <w:rPr>
          <w:rFonts w:cs="Times New Roman"/>
          <w:i/>
          <w:lang w:val="en-GB"/>
        </w:rPr>
        <w:t>a</w:t>
      </w:r>
      <w:r w:rsidRPr="00D85472">
        <w:rPr>
          <w:rFonts w:cs="Times New Roman"/>
          <w:i/>
          <w:vertAlign w:val="subscript"/>
          <w:lang w:val="en-GB"/>
        </w:rPr>
        <w:t>i</w:t>
      </w:r>
      <w:proofErr w:type="spellEnd"/>
      <w:r w:rsidRPr="00D85472">
        <w:rPr>
          <w:rFonts w:cs="Times New Roman"/>
          <w:i/>
          <w:lang w:val="en-GB"/>
        </w:rPr>
        <w:t xml:space="preserve"> </w:t>
      </w:r>
      <w:r w:rsidRPr="00D85472">
        <w:rPr>
          <w:rFonts w:cs="Times New Roman"/>
          <w:lang w:val="en-GB"/>
        </w:rPr>
        <w:t>(such as a location of the building or an education of owners) are correlated with some of the explanatory variables (such as the investment in renovation), hence, the conditions for using the RE model as a suitable estimator are not satisfied and the FE model should be rather estimated.</w:t>
      </w:r>
      <w:r w:rsidR="007E0F7E" w:rsidRPr="00D85472">
        <w:rPr>
          <w:rFonts w:cs="Times New Roman"/>
          <w:lang w:val="en-GB"/>
        </w:rPr>
        <w:t xml:space="preserve"> Since </w:t>
      </w:r>
      <w:r w:rsidRPr="00D85472">
        <w:rPr>
          <w:rFonts w:cs="Times New Roman"/>
          <w:lang w:val="en-GB"/>
        </w:rPr>
        <w:t xml:space="preserve">we are using FE </w:t>
      </w:r>
      <w:r w:rsidR="007E0F7E" w:rsidRPr="00D85472">
        <w:rPr>
          <w:rFonts w:cs="Times New Roman"/>
          <w:lang w:val="en-GB"/>
        </w:rPr>
        <w:t xml:space="preserve">model, </w:t>
      </w:r>
      <w:r w:rsidRPr="00D85472">
        <w:rPr>
          <w:rFonts w:cs="Times New Roman"/>
          <w:lang w:val="en-GB"/>
        </w:rPr>
        <w:t>we assume that there are some individual factors (unique for each panel variable) which could have some impact on dependent or independent variable and that is why we need to control for it. Since the FE method eliminates the effect of time-invariant individual characteristics, such as flat area, geographical location, or considering reasonable time frame also education of decision-maker or household composition, the net effect of the explanatory variables on the explained variable can be determined. As the individual characteristics are specific for each panel variable, we suppose the error terms should not be correlated with each other.</w:t>
      </w:r>
    </w:p>
    <w:p w14:paraId="55EDBFE3" w14:textId="77777777" w:rsidR="004D2925" w:rsidRPr="00D85472" w:rsidRDefault="004D2925" w:rsidP="00D85472">
      <w:pPr>
        <w:spacing w:after="0" w:line="240" w:lineRule="auto"/>
        <w:jc w:val="both"/>
        <w:rPr>
          <w:rFonts w:cs="Times New Roman"/>
          <w:i/>
          <w:lang w:val="en-GB"/>
        </w:rPr>
      </w:pPr>
    </w:p>
    <w:p w14:paraId="44DD8DB2" w14:textId="3579BBF5" w:rsidR="007E0F7E" w:rsidRPr="00D85472" w:rsidRDefault="007E0F7E" w:rsidP="00D85472">
      <w:pPr>
        <w:spacing w:after="0" w:line="240" w:lineRule="auto"/>
        <w:jc w:val="both"/>
        <w:rPr>
          <w:rFonts w:cs="Times New Roman"/>
          <w:lang w:val="en-GB"/>
        </w:rPr>
      </w:pPr>
      <w:r w:rsidRPr="00D85472">
        <w:rPr>
          <w:rFonts w:cs="Times New Roman"/>
          <w:i/>
          <w:lang w:val="en-GB"/>
        </w:rPr>
        <w:t>Fixed effects estimation</w:t>
      </w:r>
      <w:r w:rsidRPr="00D85472">
        <w:rPr>
          <w:rFonts w:cs="Times New Roman"/>
          <w:lang w:val="en-GB"/>
        </w:rPr>
        <w:t xml:space="preserve"> is based on the unobserved effects model:</w:t>
      </w:r>
    </w:p>
    <w:p w14:paraId="78B9000A" w14:textId="77777777" w:rsidR="00D85472" w:rsidRPr="00D85472" w:rsidRDefault="00D85472" w:rsidP="00D85472">
      <w:pPr>
        <w:spacing w:after="0" w:line="240" w:lineRule="auto"/>
        <w:jc w:val="both"/>
        <w:rPr>
          <w:rFonts w:cs="Times New Roman"/>
          <w:lang w:val="en-GB"/>
        </w:rPr>
      </w:pPr>
    </w:p>
    <w:p w14:paraId="0291B22C" w14:textId="4AD67BBB" w:rsidR="007E0F7E" w:rsidRPr="00D85472" w:rsidRDefault="00456A29" w:rsidP="00D85472">
      <w:pPr>
        <w:spacing w:after="0" w:line="240" w:lineRule="auto"/>
        <w:ind w:firstLine="284"/>
        <w:jc w:val="both"/>
        <w:rPr>
          <w:rFonts w:eastAsiaTheme="minorEastAsia" w:cs="Times New Roman"/>
          <w:lang w:val="en-GB"/>
        </w:rPr>
      </w:pPr>
      <m:oMath>
        <m:sSub>
          <m:sSubPr>
            <m:ctrlPr>
              <w:rPr>
                <w:rFonts w:ascii="Cambria Math" w:hAnsi="Cambria Math" w:cs="Times New Roman"/>
                <w:i/>
                <w:lang w:val="en-GB"/>
              </w:rPr>
            </m:ctrlPr>
          </m:sSubPr>
          <m:e>
            <m:r>
              <w:rPr>
                <w:rFonts w:ascii="Cambria Math" w:hAnsi="Cambria Math" w:cs="Times New Roman"/>
                <w:lang w:val="en-GB"/>
              </w:rPr>
              <m:t>y</m:t>
            </m:r>
          </m:e>
          <m:sub>
            <m:r>
              <w:rPr>
                <w:rFonts w:ascii="Cambria Math" w:hAnsi="Cambria Math" w:cs="Times New Roman"/>
                <w:lang w:val="en-GB"/>
              </w:rPr>
              <m:t>it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1</m:t>
            </m:r>
          </m:sub>
        </m:sSub>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2</m:t>
            </m:r>
          </m:sub>
        </m:sSub>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it2</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k</m:t>
            </m:r>
          </m:sub>
        </m:sSub>
        <m:sSub>
          <m:sSubPr>
            <m:ctrlPr>
              <w:rPr>
                <w:rFonts w:ascii="Cambria Math" w:hAnsi="Cambria Math" w:cs="Times New Roman"/>
                <w:i/>
                <w:lang w:val="en-GB"/>
              </w:rPr>
            </m:ctrlPr>
          </m:sSubPr>
          <m:e>
            <m:r>
              <w:rPr>
                <w:rFonts w:ascii="Cambria Math" w:hAnsi="Cambria Math" w:cs="Times New Roman"/>
                <w:lang w:val="en-GB"/>
              </w:rPr>
              <m:t>x</m:t>
            </m:r>
          </m:e>
          <m:sub>
            <m:r>
              <w:rPr>
                <w:rFonts w:ascii="Cambria Math" w:hAnsi="Cambria Math" w:cs="Times New Roman"/>
                <w:lang w:val="en-GB"/>
              </w:rPr>
              <m:t>itk</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a</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it</m:t>
            </m:r>
          </m:sub>
        </m:sSub>
        <m:r>
          <w:rPr>
            <w:rFonts w:ascii="Cambria Math" w:hAnsi="Cambria Math" w:cs="Times New Roman"/>
            <w:lang w:val="en-GB"/>
          </w:rPr>
          <m:t>,</m:t>
        </m:r>
      </m:oMath>
      <w:r w:rsidR="007E0F7E" w:rsidRPr="00D85472">
        <w:rPr>
          <w:rFonts w:eastAsiaTheme="minorEastAsia" w:cs="Times New Roman"/>
          <w:lang w:val="en-GB"/>
        </w:rPr>
        <w:tab/>
      </w:r>
      <w:r w:rsidR="007E0F7E" w:rsidRPr="00D85472">
        <w:rPr>
          <w:rFonts w:eastAsiaTheme="minorEastAsia" w:cs="Times New Roman"/>
          <w:lang w:val="en-GB"/>
        </w:rPr>
        <w:tab/>
      </w:r>
      <m:oMath>
        <m:r>
          <w:rPr>
            <w:rFonts w:ascii="Cambria Math" w:eastAsiaTheme="minorEastAsia" w:hAnsi="Cambria Math" w:cs="Times New Roman"/>
            <w:lang w:val="en-GB"/>
          </w:rPr>
          <m:t>t=1,2,…, T</m:t>
        </m:r>
      </m:oMath>
      <w:r w:rsidR="007E0F7E" w:rsidRPr="00D85472">
        <w:rPr>
          <w:rFonts w:eastAsiaTheme="minorEastAsia" w:cs="Times New Roman"/>
          <w:lang w:val="en-GB"/>
        </w:rPr>
        <w:t xml:space="preserve"> </w:t>
      </w:r>
      <w:r w:rsidR="007E0F7E" w:rsidRPr="00D85472">
        <w:rPr>
          <w:rFonts w:eastAsiaTheme="minorEastAsia" w:cs="Times New Roman"/>
          <w:lang w:val="en-GB"/>
        </w:rPr>
        <w:tab/>
      </w:r>
    </w:p>
    <w:p w14:paraId="069762E1" w14:textId="77777777" w:rsidR="00D85472" w:rsidRPr="00D85472" w:rsidRDefault="00D85472" w:rsidP="00D85472">
      <w:pPr>
        <w:spacing w:after="0" w:line="240" w:lineRule="auto"/>
        <w:ind w:firstLine="284"/>
        <w:jc w:val="both"/>
        <w:rPr>
          <w:rFonts w:eastAsiaTheme="minorEastAsia" w:cs="Times New Roman"/>
          <w:lang w:val="en-GB"/>
        </w:rPr>
      </w:pPr>
    </w:p>
    <w:p w14:paraId="58E61407" w14:textId="1791CA9D" w:rsidR="007E0F7E" w:rsidRPr="00D85472" w:rsidRDefault="007E0F7E" w:rsidP="00D85472">
      <w:pPr>
        <w:spacing w:after="0" w:line="240" w:lineRule="auto"/>
        <w:jc w:val="both"/>
        <w:rPr>
          <w:rFonts w:eastAsiaTheme="minorEastAsia" w:cs="Times New Roman"/>
          <w:i/>
          <w:vertAlign w:val="subscript"/>
          <w:lang w:val="en-GB"/>
        </w:rPr>
      </w:pPr>
      <w:proofErr w:type="gramStart"/>
      <w:r w:rsidRPr="00D85472">
        <w:rPr>
          <w:rFonts w:eastAsiaTheme="minorEastAsia" w:cs="Times New Roman"/>
          <w:lang w:val="en-GB"/>
        </w:rPr>
        <w:t>where</w:t>
      </w:r>
      <w:proofErr w:type="gramEnd"/>
      <w:r w:rsidRPr="00D85472">
        <w:rPr>
          <w:rFonts w:eastAsiaTheme="minorEastAsia" w:cs="Times New Roman"/>
          <w:lang w:val="en-GB"/>
        </w:rPr>
        <w:t xml:space="preserve"> </w:t>
      </w:r>
      <w:proofErr w:type="spellStart"/>
      <w:r w:rsidRPr="00D85472">
        <w:rPr>
          <w:rFonts w:eastAsiaTheme="minorEastAsia" w:cs="Times New Roman"/>
          <w:i/>
          <w:lang w:val="en-GB"/>
        </w:rPr>
        <w:t>i</w:t>
      </w:r>
      <w:proofErr w:type="spellEnd"/>
      <w:r w:rsidRPr="00D85472">
        <w:rPr>
          <w:rFonts w:eastAsiaTheme="minorEastAsia" w:cs="Times New Roman"/>
          <w:lang w:val="en-GB"/>
        </w:rPr>
        <w:t xml:space="preserve"> stands for an individual, </w:t>
      </w:r>
      <w:r w:rsidRPr="00D85472">
        <w:rPr>
          <w:rFonts w:eastAsiaTheme="minorEastAsia" w:cs="Times New Roman"/>
          <w:i/>
          <w:lang w:val="en-GB"/>
        </w:rPr>
        <w:t>t</w:t>
      </w:r>
      <w:r w:rsidRPr="00D85472">
        <w:rPr>
          <w:rFonts w:eastAsiaTheme="minorEastAsia" w:cs="Times New Roman"/>
          <w:lang w:val="en-GB"/>
        </w:rPr>
        <w:t xml:space="preserve"> represents time period, </w:t>
      </w:r>
      <w:proofErr w:type="spellStart"/>
      <w:r w:rsidRPr="00D85472">
        <w:rPr>
          <w:rFonts w:eastAsiaTheme="minorEastAsia" w:cs="Times New Roman"/>
          <w:i/>
          <w:lang w:val="en-GB"/>
        </w:rPr>
        <w:t>y</w:t>
      </w:r>
      <w:r w:rsidRPr="00D85472">
        <w:rPr>
          <w:rFonts w:eastAsiaTheme="minorEastAsia" w:cs="Times New Roman"/>
          <w:i/>
          <w:vertAlign w:val="subscript"/>
          <w:lang w:val="en-GB"/>
        </w:rPr>
        <w:t>it</w:t>
      </w:r>
      <w:proofErr w:type="spellEnd"/>
      <w:r w:rsidRPr="00D85472">
        <w:rPr>
          <w:rFonts w:eastAsiaTheme="minorEastAsia" w:cs="Times New Roman"/>
          <w:vertAlign w:val="subscript"/>
          <w:lang w:val="en-GB"/>
        </w:rPr>
        <w:t xml:space="preserve">  </w:t>
      </w:r>
      <w:r w:rsidRPr="00D85472">
        <w:rPr>
          <w:rFonts w:eastAsiaTheme="minorEastAsia" w:cs="Times New Roman"/>
          <w:lang w:val="en-GB"/>
        </w:rPr>
        <w:t xml:space="preserve">is a dependent variable, </w:t>
      </w:r>
      <w:proofErr w:type="spellStart"/>
      <w:r w:rsidRPr="00D85472">
        <w:rPr>
          <w:rFonts w:eastAsiaTheme="minorEastAsia" w:cs="Times New Roman"/>
          <w:i/>
          <w:lang w:val="en-GB"/>
        </w:rPr>
        <w:t>x</w:t>
      </w:r>
      <w:r w:rsidRPr="00D85472">
        <w:rPr>
          <w:rFonts w:eastAsiaTheme="minorEastAsia" w:cs="Times New Roman"/>
          <w:i/>
          <w:vertAlign w:val="subscript"/>
          <w:lang w:val="en-GB"/>
        </w:rPr>
        <w:t>it</w:t>
      </w:r>
      <w:r w:rsidRPr="00D85472">
        <w:rPr>
          <w:rFonts w:eastAsiaTheme="minorEastAsia" w:cs="Times New Roman"/>
          <w:lang w:val="en-GB"/>
        </w:rPr>
        <w:t>’s</w:t>
      </w:r>
      <w:proofErr w:type="spellEnd"/>
      <w:r w:rsidRPr="00D85472">
        <w:rPr>
          <w:rFonts w:eastAsiaTheme="minorEastAsia" w:cs="Times New Roman"/>
          <w:lang w:val="en-GB"/>
        </w:rPr>
        <w:t xml:space="preserve"> are independent variables, </w:t>
      </w:r>
      <w:proofErr w:type="spellStart"/>
      <w:r w:rsidRPr="00D85472">
        <w:rPr>
          <w:rFonts w:eastAsiaTheme="minorEastAsia" w:cs="Times New Roman"/>
          <w:i/>
          <w:lang w:val="en-GB"/>
        </w:rPr>
        <w:t>a</w:t>
      </w:r>
      <w:r w:rsidRPr="00D85472">
        <w:rPr>
          <w:rFonts w:eastAsiaTheme="minorEastAsia" w:cs="Times New Roman"/>
          <w:i/>
          <w:vertAlign w:val="subscript"/>
          <w:lang w:val="en-GB"/>
        </w:rPr>
        <w:t>i</w:t>
      </w:r>
      <w:proofErr w:type="spellEnd"/>
      <w:r w:rsidRPr="00D85472">
        <w:rPr>
          <w:rFonts w:eastAsiaTheme="minorEastAsia" w:cs="Times New Roman"/>
          <w:lang w:val="en-GB"/>
        </w:rPr>
        <w:t xml:space="preserve"> goes for unobserved effect and </w:t>
      </w:r>
      <w:proofErr w:type="spellStart"/>
      <w:r w:rsidRPr="00D85472">
        <w:rPr>
          <w:rFonts w:eastAsiaTheme="minorEastAsia" w:cs="Times New Roman"/>
          <w:i/>
          <w:lang w:val="en-GB"/>
        </w:rPr>
        <w:t>u</w:t>
      </w:r>
      <w:r w:rsidRPr="00D85472">
        <w:rPr>
          <w:rFonts w:eastAsiaTheme="minorEastAsia" w:cs="Times New Roman"/>
          <w:i/>
          <w:vertAlign w:val="subscript"/>
          <w:lang w:val="en-GB"/>
        </w:rPr>
        <w:t>it</w:t>
      </w:r>
      <w:proofErr w:type="spellEnd"/>
      <w:r w:rsidRPr="00D85472">
        <w:rPr>
          <w:rFonts w:eastAsiaTheme="minorEastAsia" w:cs="Times New Roman"/>
          <w:lang w:val="en-GB"/>
        </w:rPr>
        <w:t xml:space="preserve"> is express an idiosyncratic error. This method is based on elimination of unobserved effect </w:t>
      </w:r>
      <w:proofErr w:type="spellStart"/>
      <w:r w:rsidRPr="00D85472">
        <w:rPr>
          <w:rFonts w:eastAsiaTheme="minorEastAsia" w:cs="Times New Roman"/>
          <w:i/>
          <w:lang w:val="en-GB"/>
        </w:rPr>
        <w:t>a</w:t>
      </w:r>
      <w:r w:rsidRPr="00D85472">
        <w:rPr>
          <w:rFonts w:eastAsiaTheme="minorEastAsia" w:cs="Times New Roman"/>
          <w:i/>
          <w:vertAlign w:val="subscript"/>
          <w:lang w:val="en-GB"/>
        </w:rPr>
        <w:t>i</w:t>
      </w:r>
      <w:proofErr w:type="spellEnd"/>
      <w:r w:rsidRPr="00D85472">
        <w:rPr>
          <w:rFonts w:eastAsiaTheme="minorEastAsia" w:cs="Times New Roman"/>
          <w:lang w:val="en-GB"/>
        </w:rPr>
        <w:t xml:space="preserve">. </w:t>
      </w:r>
      <w:r w:rsidR="0092208A" w:rsidRPr="00D85472">
        <w:rPr>
          <w:rFonts w:eastAsiaTheme="minorEastAsia" w:cs="Times New Roman"/>
          <w:lang w:val="en-GB"/>
        </w:rPr>
        <w:t xml:space="preserve">Subtracting the averaged above equation </w:t>
      </w:r>
      <w:r w:rsidRPr="00D85472">
        <w:rPr>
          <w:rFonts w:eastAsiaTheme="minorEastAsia" w:cs="Times New Roman"/>
          <w:lang w:val="en-GB"/>
        </w:rPr>
        <w:t>over time for each individual</w:t>
      </w:r>
      <w:r w:rsidR="0092208A" w:rsidRPr="00D85472">
        <w:rPr>
          <w:rFonts w:eastAsiaTheme="minorEastAsia" w:cs="Times New Roman"/>
          <w:lang w:val="en-GB"/>
        </w:rPr>
        <w:t xml:space="preserve">, we obtain </w:t>
      </w:r>
      <w:r w:rsidRPr="00D85472">
        <w:rPr>
          <w:rFonts w:eastAsiaTheme="minorEastAsia" w:cs="Times New Roman"/>
          <w:lang w:val="en-GB"/>
        </w:rPr>
        <w:t xml:space="preserve">the final equation with removed </w:t>
      </w:r>
      <w:proofErr w:type="spellStart"/>
      <w:r w:rsidRPr="00D85472">
        <w:rPr>
          <w:rFonts w:eastAsiaTheme="minorEastAsia" w:cs="Times New Roman"/>
          <w:i/>
          <w:lang w:val="en-GB"/>
        </w:rPr>
        <w:t>a</w:t>
      </w:r>
      <w:r w:rsidRPr="00D85472">
        <w:rPr>
          <w:rFonts w:eastAsiaTheme="minorEastAsia" w:cs="Times New Roman"/>
          <w:i/>
          <w:vertAlign w:val="subscript"/>
          <w:lang w:val="en-GB"/>
        </w:rPr>
        <w:t>i</w:t>
      </w:r>
      <w:proofErr w:type="spellEnd"/>
    </w:p>
    <w:p w14:paraId="6C438993" w14:textId="77777777" w:rsidR="00D85472" w:rsidRPr="00D85472" w:rsidRDefault="00D85472" w:rsidP="00D85472">
      <w:pPr>
        <w:spacing w:after="0" w:line="240" w:lineRule="auto"/>
        <w:jc w:val="both"/>
        <w:rPr>
          <w:rFonts w:eastAsiaTheme="minorEastAsia" w:cs="Times New Roman"/>
          <w:lang w:val="en-GB"/>
        </w:rPr>
      </w:pPr>
    </w:p>
    <w:p w14:paraId="0D9B46A2" w14:textId="483893DD" w:rsidR="007E0F7E" w:rsidRPr="00D85472" w:rsidRDefault="00456A29" w:rsidP="00D85472">
      <w:pPr>
        <w:spacing w:after="0" w:line="240" w:lineRule="auto"/>
        <w:ind w:firstLine="284"/>
        <w:jc w:val="both"/>
        <w:rPr>
          <w:rFonts w:eastAsiaTheme="minorEastAsia" w:cs="Times New Roman"/>
          <w:lang w:val="en-GB"/>
        </w:rPr>
      </w:pPr>
      <m:oMath>
        <m:sSub>
          <m:sSubPr>
            <m:ctrlPr>
              <w:rPr>
                <w:rFonts w:ascii="Cambria Math" w:hAnsi="Cambria Math" w:cs="Times New Roman"/>
                <w:i/>
                <w:lang w:val="en-GB"/>
              </w:rPr>
            </m:ctrlPr>
          </m:sSubPr>
          <m:e>
            <m:acc>
              <m:accPr>
                <m:chr m:val="̈"/>
                <m:ctrlPr>
                  <w:rPr>
                    <w:rFonts w:ascii="Cambria Math" w:hAnsi="Cambria Math" w:cs="Times New Roman"/>
                    <w:i/>
                    <w:lang w:val="en-GB"/>
                  </w:rPr>
                </m:ctrlPr>
              </m:accPr>
              <m:e>
                <m:r>
                  <w:rPr>
                    <w:rFonts w:ascii="Cambria Math" w:hAnsi="Cambria Math" w:cs="Times New Roman"/>
                    <w:lang w:val="en-GB"/>
                  </w:rPr>
                  <m:t>y</m:t>
                </m:r>
              </m:e>
            </m:acc>
          </m:e>
          <m:sub>
            <m:r>
              <w:rPr>
                <w:rFonts w:ascii="Cambria Math" w:hAnsi="Cambria Math" w:cs="Times New Roman"/>
                <w:lang w:val="en-GB"/>
              </w:rPr>
              <m:t>it</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1</m:t>
            </m:r>
          </m:sub>
        </m:sSub>
        <m:sSub>
          <m:sSubPr>
            <m:ctrlPr>
              <w:rPr>
                <w:rFonts w:ascii="Cambria Math" w:hAnsi="Cambria Math" w:cs="Times New Roman"/>
                <w:i/>
                <w:lang w:val="en-GB"/>
              </w:rPr>
            </m:ctrlPr>
          </m:sSubPr>
          <m:e>
            <m:acc>
              <m:accPr>
                <m:chr m:val="̈"/>
                <m:ctrlPr>
                  <w:rPr>
                    <w:rFonts w:ascii="Cambria Math" w:hAnsi="Cambria Math" w:cs="Times New Roman"/>
                    <w:i/>
                    <w:lang w:val="en-GB"/>
                  </w:rPr>
                </m:ctrlPr>
              </m:accPr>
              <m:e>
                <m:r>
                  <w:rPr>
                    <w:rFonts w:ascii="Cambria Math" w:hAnsi="Cambria Math" w:cs="Times New Roman"/>
                    <w:lang w:val="en-GB"/>
                  </w:rPr>
                  <m:t>x</m:t>
                </m:r>
              </m:e>
            </m:acc>
          </m:e>
          <m:sub>
            <m:r>
              <w:rPr>
                <w:rFonts w:ascii="Cambria Math" w:hAnsi="Cambria Math" w:cs="Times New Roman"/>
                <w:lang w:val="en-GB"/>
              </w:rPr>
              <m:t>it1</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2</m:t>
            </m:r>
          </m:sub>
        </m:sSub>
        <m:sSub>
          <m:sSubPr>
            <m:ctrlPr>
              <w:rPr>
                <w:rFonts w:ascii="Cambria Math" w:hAnsi="Cambria Math" w:cs="Times New Roman"/>
                <w:i/>
                <w:lang w:val="en-GB"/>
              </w:rPr>
            </m:ctrlPr>
          </m:sSubPr>
          <m:e>
            <m:acc>
              <m:accPr>
                <m:chr m:val="̈"/>
                <m:ctrlPr>
                  <w:rPr>
                    <w:rFonts w:ascii="Cambria Math" w:hAnsi="Cambria Math" w:cs="Times New Roman"/>
                    <w:i/>
                    <w:lang w:val="en-GB"/>
                  </w:rPr>
                </m:ctrlPr>
              </m:accPr>
              <m:e>
                <m:r>
                  <w:rPr>
                    <w:rFonts w:ascii="Cambria Math" w:hAnsi="Cambria Math" w:cs="Times New Roman"/>
                    <w:lang w:val="en-GB"/>
                  </w:rPr>
                  <m:t>x</m:t>
                </m:r>
              </m:e>
            </m:acc>
          </m:e>
          <m:sub>
            <m:r>
              <w:rPr>
                <w:rFonts w:ascii="Cambria Math" w:hAnsi="Cambria Math" w:cs="Times New Roman"/>
                <w:lang w:val="en-GB"/>
              </w:rPr>
              <m:t>it2</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β</m:t>
            </m:r>
          </m:e>
          <m:sub>
            <m:r>
              <w:rPr>
                <w:rFonts w:ascii="Cambria Math" w:hAnsi="Cambria Math" w:cs="Times New Roman"/>
                <w:lang w:val="en-GB"/>
              </w:rPr>
              <m:t>k</m:t>
            </m:r>
          </m:sub>
        </m:sSub>
        <m:sSub>
          <m:sSubPr>
            <m:ctrlPr>
              <w:rPr>
                <w:rFonts w:ascii="Cambria Math" w:hAnsi="Cambria Math" w:cs="Times New Roman"/>
                <w:i/>
                <w:lang w:val="en-GB"/>
              </w:rPr>
            </m:ctrlPr>
          </m:sSubPr>
          <m:e>
            <m:acc>
              <m:accPr>
                <m:chr m:val="̈"/>
                <m:ctrlPr>
                  <w:rPr>
                    <w:rFonts w:ascii="Cambria Math" w:hAnsi="Cambria Math" w:cs="Times New Roman"/>
                    <w:i/>
                    <w:lang w:val="en-GB"/>
                  </w:rPr>
                </m:ctrlPr>
              </m:accPr>
              <m:e>
                <m:r>
                  <w:rPr>
                    <w:rFonts w:ascii="Cambria Math" w:hAnsi="Cambria Math" w:cs="Times New Roman"/>
                    <w:lang w:val="en-GB"/>
                  </w:rPr>
                  <m:t>x</m:t>
                </m:r>
              </m:e>
            </m:acc>
          </m:e>
          <m:sub>
            <m:r>
              <w:rPr>
                <w:rFonts w:ascii="Cambria Math" w:hAnsi="Cambria Math" w:cs="Times New Roman"/>
                <w:lang w:val="en-GB"/>
              </w:rPr>
              <m:t>itk</m:t>
            </m:r>
          </m:sub>
        </m:sSub>
        <m:r>
          <w:rPr>
            <w:rFonts w:ascii="Cambria Math" w:hAnsi="Cambria Math" w:cs="Times New Roman"/>
            <w:lang w:val="en-GB"/>
          </w:rPr>
          <m:t>+</m:t>
        </m:r>
        <m:sSub>
          <m:sSubPr>
            <m:ctrlPr>
              <w:rPr>
                <w:rFonts w:ascii="Cambria Math" w:hAnsi="Cambria Math" w:cs="Times New Roman"/>
                <w:i/>
                <w:lang w:val="en-GB"/>
              </w:rPr>
            </m:ctrlPr>
          </m:sSubPr>
          <m:e>
            <m:acc>
              <m:accPr>
                <m:chr m:val="̈"/>
                <m:ctrlPr>
                  <w:rPr>
                    <w:rFonts w:ascii="Cambria Math" w:hAnsi="Cambria Math" w:cs="Times New Roman"/>
                    <w:i/>
                    <w:lang w:val="en-GB"/>
                  </w:rPr>
                </m:ctrlPr>
              </m:accPr>
              <m:e>
                <m:r>
                  <w:rPr>
                    <w:rFonts w:ascii="Cambria Math" w:hAnsi="Cambria Math" w:cs="Times New Roman"/>
                    <w:lang w:val="en-GB"/>
                  </w:rPr>
                  <m:t>u</m:t>
                </m:r>
              </m:e>
            </m:acc>
          </m:e>
          <m:sub>
            <m:r>
              <w:rPr>
                <w:rFonts w:ascii="Cambria Math" w:hAnsi="Cambria Math" w:cs="Times New Roman"/>
                <w:lang w:val="en-GB"/>
              </w:rPr>
              <m:t>it</m:t>
            </m:r>
          </m:sub>
        </m:sSub>
        <m:r>
          <w:rPr>
            <w:rFonts w:ascii="Cambria Math" w:hAnsi="Cambria Math" w:cs="Times New Roman"/>
            <w:lang w:val="en-GB"/>
          </w:rPr>
          <m:t>,</m:t>
        </m:r>
      </m:oMath>
      <w:r w:rsidR="007E0F7E" w:rsidRPr="00D85472">
        <w:rPr>
          <w:rFonts w:eastAsiaTheme="minorEastAsia" w:cs="Times New Roman"/>
          <w:lang w:val="en-GB"/>
        </w:rPr>
        <w:tab/>
      </w:r>
      <w:r w:rsidR="007E0F7E" w:rsidRPr="00D85472">
        <w:rPr>
          <w:rFonts w:eastAsiaTheme="minorEastAsia" w:cs="Times New Roman"/>
          <w:lang w:val="en-GB"/>
        </w:rPr>
        <w:tab/>
      </w:r>
      <m:oMath>
        <m:r>
          <w:rPr>
            <w:rFonts w:ascii="Cambria Math" w:eastAsiaTheme="minorEastAsia" w:hAnsi="Cambria Math" w:cs="Times New Roman"/>
            <w:lang w:val="en-GB"/>
          </w:rPr>
          <m:t>t=1,2,…, T</m:t>
        </m:r>
      </m:oMath>
      <w:r w:rsidR="007E0F7E" w:rsidRPr="00D85472">
        <w:rPr>
          <w:rFonts w:eastAsiaTheme="minorEastAsia" w:cs="Times New Roman"/>
          <w:lang w:val="en-GB"/>
        </w:rPr>
        <w:t xml:space="preserve"> </w:t>
      </w:r>
      <w:r w:rsidR="007E0F7E" w:rsidRPr="00D85472">
        <w:rPr>
          <w:rFonts w:eastAsiaTheme="minorEastAsia" w:cs="Times New Roman"/>
          <w:lang w:val="en-GB"/>
        </w:rPr>
        <w:tab/>
      </w:r>
    </w:p>
    <w:p w14:paraId="7601B5AC" w14:textId="77777777" w:rsidR="00D85472" w:rsidRPr="00D85472" w:rsidRDefault="00D85472" w:rsidP="00D85472">
      <w:pPr>
        <w:spacing w:after="0" w:line="240" w:lineRule="auto"/>
        <w:jc w:val="both"/>
        <w:rPr>
          <w:rFonts w:cs="Times New Roman"/>
          <w:lang w:val="en-GB"/>
        </w:rPr>
      </w:pPr>
    </w:p>
    <w:p w14:paraId="2C0250B7" w14:textId="1C6B5D65" w:rsidR="00AB2AD3" w:rsidRPr="00D85472" w:rsidRDefault="007E0F7E" w:rsidP="00D85472">
      <w:pPr>
        <w:spacing w:after="0" w:line="240" w:lineRule="auto"/>
        <w:jc w:val="both"/>
        <w:rPr>
          <w:rFonts w:cs="Times New Roman"/>
          <w:lang w:val="en-GB"/>
        </w:rPr>
      </w:pPr>
      <w:proofErr w:type="gramStart"/>
      <w:r w:rsidRPr="00D85472">
        <w:rPr>
          <w:rFonts w:cs="Times New Roman"/>
          <w:lang w:val="en-GB"/>
        </w:rPr>
        <w:t>which</w:t>
      </w:r>
      <w:proofErr w:type="gramEnd"/>
      <w:r w:rsidRPr="00D85472">
        <w:rPr>
          <w:rFonts w:cs="Times New Roman"/>
          <w:lang w:val="en-GB"/>
        </w:rPr>
        <w:t xml:space="preserve"> can be estimated by general pooled OLS. </w:t>
      </w:r>
      <w:r w:rsidR="00AB2AD3" w:rsidRPr="00D85472">
        <w:rPr>
          <w:lang w:val="en-GB"/>
        </w:rPr>
        <w:t xml:space="preserve">To get an unbiased and consistent pooled OLS estimator, the assumptions for using FE model were verified. The final model is linear in parameters where the parameters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j</m:t>
            </m:r>
          </m:sub>
        </m:sSub>
        <m:r>
          <w:rPr>
            <w:rFonts w:ascii="Cambria Math" w:hAnsi="Cambria Math"/>
            <w:lang w:val="en-GB"/>
          </w:rPr>
          <m:t xml:space="preserve"> </m:t>
        </m:r>
      </m:oMath>
      <w:r w:rsidR="00AB2AD3" w:rsidRPr="00D85472">
        <w:rPr>
          <w:lang w:val="en-GB"/>
        </w:rPr>
        <w:t xml:space="preserve">are to be estimated and </w:t>
      </w:r>
      <w:proofErr w:type="spellStart"/>
      <w:r w:rsidR="00AB2AD3" w:rsidRPr="00D85472">
        <w:rPr>
          <w:rFonts w:eastAsiaTheme="minorEastAsia"/>
          <w:i/>
          <w:lang w:val="en-GB"/>
        </w:rPr>
        <w:t>a</w:t>
      </w:r>
      <w:r w:rsidR="00AB2AD3" w:rsidRPr="00D85472">
        <w:rPr>
          <w:rFonts w:eastAsiaTheme="minorEastAsia"/>
          <w:i/>
          <w:vertAlign w:val="subscript"/>
          <w:lang w:val="en-GB"/>
        </w:rPr>
        <w:t>i</w:t>
      </w:r>
      <w:proofErr w:type="spellEnd"/>
      <w:r w:rsidR="00AB2AD3" w:rsidRPr="00D85472">
        <w:rPr>
          <w:lang w:val="en-GB"/>
        </w:rPr>
        <w:t xml:space="preserve"> is the unobserved effect. Further, </w:t>
      </w:r>
      <w:r w:rsidR="00AB2AD3" w:rsidRPr="00D85472">
        <w:rPr>
          <w:rFonts w:cs="Times New Roman"/>
          <w:lang w:val="en-GB"/>
        </w:rPr>
        <w:t xml:space="preserve">for each period of time, we observe the same random sample </w:t>
      </w:r>
      <w:r w:rsidR="00AB2AD3" w:rsidRPr="00D85472">
        <w:rPr>
          <w:lang w:val="en-GB"/>
        </w:rPr>
        <w:t xml:space="preserve">(n=45*6) and </w:t>
      </w:r>
      <w:r w:rsidRPr="00D85472">
        <w:rPr>
          <w:lang w:val="en-GB"/>
        </w:rPr>
        <w:t xml:space="preserve">the kay </w:t>
      </w:r>
      <w:r w:rsidR="00AB2AD3" w:rsidRPr="00D85472">
        <w:rPr>
          <w:lang w:val="en-GB"/>
        </w:rPr>
        <w:t xml:space="preserve">explanatory variables, such as </w:t>
      </w:r>
      <w:r w:rsidR="00AB2AD3" w:rsidRPr="00D85472">
        <w:rPr>
          <w:rFonts w:cs="Times New Roman"/>
          <w:i/>
          <w:lang w:val="en-GB"/>
        </w:rPr>
        <w:t>PROJECT, Learning, Learning2, Learning3</w:t>
      </w:r>
      <w:r w:rsidRPr="00D85472">
        <w:rPr>
          <w:i/>
          <w:lang w:val="en-GB"/>
        </w:rPr>
        <w:t>,</w:t>
      </w:r>
      <w:r w:rsidR="00AB2AD3" w:rsidRPr="00D85472">
        <w:rPr>
          <w:rFonts w:cs="Times New Roman"/>
          <w:i/>
          <w:lang w:val="en-GB"/>
        </w:rPr>
        <w:t xml:space="preserve"> </w:t>
      </w:r>
      <w:r w:rsidR="00AB2AD3" w:rsidRPr="00D85472">
        <w:rPr>
          <w:rFonts w:cs="Times New Roman"/>
          <w:lang w:val="en-GB"/>
        </w:rPr>
        <w:t>and</w:t>
      </w:r>
      <w:r w:rsidR="00AB2AD3" w:rsidRPr="00D85472">
        <w:rPr>
          <w:rFonts w:cs="Times New Roman"/>
          <w:i/>
          <w:lang w:val="en-GB"/>
        </w:rPr>
        <w:t xml:space="preserve"> Investment</w:t>
      </w:r>
      <w:r w:rsidR="00AB2AD3" w:rsidRPr="00D85472">
        <w:rPr>
          <w:rFonts w:cs="Times New Roman"/>
          <w:lang w:val="en-GB"/>
        </w:rPr>
        <w:t xml:space="preserve"> are changing for each of 45 </w:t>
      </w:r>
      <w:r w:rsidR="00AB2AD3" w:rsidRPr="00D85472">
        <w:rPr>
          <w:lang w:val="en-GB"/>
        </w:rPr>
        <w:t xml:space="preserve">buildings </w:t>
      </w:r>
      <w:r w:rsidR="00AB2AD3" w:rsidRPr="00D85472">
        <w:rPr>
          <w:rFonts w:cs="Times New Roman"/>
          <w:lang w:val="en-GB"/>
        </w:rPr>
        <w:t>over time</w:t>
      </w:r>
      <w:r w:rsidRPr="00D85472">
        <w:rPr>
          <w:lang w:val="en-GB"/>
        </w:rPr>
        <w:t>,</w:t>
      </w:r>
      <w:r w:rsidR="00AB2AD3" w:rsidRPr="00D85472">
        <w:rPr>
          <w:rFonts w:cs="Times New Roman"/>
          <w:lang w:val="en-GB"/>
        </w:rPr>
        <w:t xml:space="preserve"> as other variables </w:t>
      </w:r>
      <w:r w:rsidRPr="00D85472">
        <w:rPr>
          <w:lang w:val="en-GB"/>
        </w:rPr>
        <w:t>describing</w:t>
      </w:r>
      <w:r w:rsidR="00AB2AD3" w:rsidRPr="00D85472">
        <w:rPr>
          <w:rFonts w:cs="Times New Roman"/>
          <w:lang w:val="en-GB"/>
        </w:rPr>
        <w:t xml:space="preserve"> </w:t>
      </w:r>
      <w:r w:rsidRPr="00D85472">
        <w:rPr>
          <w:lang w:val="en-GB"/>
        </w:rPr>
        <w:t xml:space="preserve">insulation </w:t>
      </w:r>
      <w:r w:rsidR="00AB2AD3" w:rsidRPr="00D85472">
        <w:rPr>
          <w:rFonts w:cs="Times New Roman"/>
          <w:lang w:val="en-GB"/>
        </w:rPr>
        <w:t xml:space="preserve">measures or subsidies </w:t>
      </w:r>
      <w:r w:rsidRPr="00D85472">
        <w:rPr>
          <w:lang w:val="en-GB"/>
        </w:rPr>
        <w:t xml:space="preserve">do </w:t>
      </w:r>
      <w:r w:rsidR="00AB2AD3" w:rsidRPr="00D85472">
        <w:rPr>
          <w:rFonts w:cs="Times New Roman"/>
          <w:lang w:val="en-GB"/>
        </w:rPr>
        <w:t xml:space="preserve">at least for some of </w:t>
      </w:r>
      <w:r w:rsidRPr="00D85472">
        <w:rPr>
          <w:lang w:val="en-GB"/>
        </w:rPr>
        <w:t>units</w:t>
      </w:r>
      <w:r w:rsidR="00AB2AD3" w:rsidRPr="00D85472">
        <w:rPr>
          <w:rFonts w:cs="Times New Roman"/>
          <w:lang w:val="en-GB"/>
        </w:rPr>
        <w:t xml:space="preserve"> over time. Therefore, no perfect linear relationship exists among the explanatory variables. </w:t>
      </w:r>
      <w:r w:rsidRPr="00D85472">
        <w:rPr>
          <w:lang w:val="en-GB"/>
        </w:rPr>
        <w:t xml:space="preserve">For each t, </w:t>
      </w:r>
      <w:r w:rsidR="00AB2AD3" w:rsidRPr="00D85472">
        <w:rPr>
          <w:rFonts w:cs="Times New Roman"/>
          <w:lang w:val="en-GB"/>
        </w:rPr>
        <w:t xml:space="preserve">we </w:t>
      </w:r>
      <w:proofErr w:type="gramStart"/>
      <w:r w:rsidRPr="00D85472">
        <w:rPr>
          <w:lang w:val="en-GB"/>
        </w:rPr>
        <w:t xml:space="preserve">get </w:t>
      </w:r>
      <w:proofErr w:type="gramEnd"/>
      <m:oMath>
        <m:r>
          <w:rPr>
            <w:rFonts w:ascii="Cambria Math" w:hAnsi="Cambria Math" w:cs="Times New Roman"/>
            <w:lang w:val="en-GB"/>
          </w:rPr>
          <m:t>E</m:t>
        </m:r>
        <m:d>
          <m:dPr>
            <m:ctrlPr>
              <w:rPr>
                <w:rFonts w:ascii="Cambria Math" w:hAnsi="Cambria Math" w:cs="Times New Roman"/>
                <w:i/>
                <w:lang w:val="en-GB"/>
              </w:rPr>
            </m:ctrlPr>
          </m:dPr>
          <m:e>
            <m:sSub>
              <m:sSubPr>
                <m:ctrlPr>
                  <w:rPr>
                    <w:rFonts w:ascii="Cambria Math" w:hAnsi="Cambria Math" w:cs="Times New Roman"/>
                    <w:i/>
                    <w:lang w:val="en-GB"/>
                  </w:rPr>
                </m:ctrlPr>
              </m:sSubPr>
              <m:e>
                <m:r>
                  <w:rPr>
                    <w:rFonts w:ascii="Cambria Math" w:hAnsi="Cambria Math" w:cs="Times New Roman"/>
                    <w:lang w:val="en-GB"/>
                  </w:rPr>
                  <m:t>u</m:t>
                </m:r>
              </m:e>
              <m:sub>
                <m:r>
                  <w:rPr>
                    <w:rFonts w:ascii="Cambria Math" w:hAnsi="Cambria Math" w:cs="Times New Roman"/>
                    <w:lang w:val="en-GB"/>
                  </w:rPr>
                  <m:t>it</m:t>
                </m:r>
              </m:sub>
            </m:sSub>
          </m:e>
          <m:e>
            <m:sSub>
              <m:sSubPr>
                <m:ctrlPr>
                  <w:rPr>
                    <w:rFonts w:ascii="Cambria Math" w:hAnsi="Cambria Math" w:cs="Times New Roman"/>
                    <w:i/>
                    <w:lang w:val="en-GB"/>
                  </w:rPr>
                </m:ctrlPr>
              </m:sSubPr>
              <m:e>
                <m:r>
                  <m:rPr>
                    <m:sty m:val="bi"/>
                  </m:rPr>
                  <w:rPr>
                    <w:rFonts w:ascii="Cambria Math" w:hAnsi="Cambria Math" w:cs="Times New Roman"/>
                    <w:lang w:val="en-GB"/>
                  </w:rPr>
                  <m:t>X</m:t>
                </m:r>
              </m:e>
              <m:sub>
                <m:r>
                  <w:rPr>
                    <w:rFonts w:ascii="Cambria Math" w:hAnsi="Cambria Math" w:cs="Times New Roman"/>
                    <w:lang w:val="en-GB"/>
                  </w:rPr>
                  <m:t>i</m:t>
                </m:r>
              </m:sub>
            </m:sSub>
            <m:r>
              <w:rPr>
                <w:rFonts w:ascii="Cambria Math" w:hAnsi="Cambria Math" w:cs="Times New Roman"/>
                <w:lang w:val="en-GB"/>
              </w:rPr>
              <m:t>,</m:t>
            </m:r>
            <m:sSub>
              <m:sSubPr>
                <m:ctrlPr>
                  <w:rPr>
                    <w:rFonts w:ascii="Cambria Math" w:hAnsi="Cambria Math" w:cs="Times New Roman"/>
                    <w:i/>
                    <w:lang w:val="en-GB"/>
                  </w:rPr>
                </m:ctrlPr>
              </m:sSubPr>
              <m:e>
                <m:r>
                  <w:rPr>
                    <w:rFonts w:ascii="Cambria Math" w:hAnsi="Cambria Math" w:cs="Times New Roman"/>
                    <w:lang w:val="en-GB"/>
                  </w:rPr>
                  <m:t>a</m:t>
                </m:r>
              </m:e>
              <m:sub>
                <m:r>
                  <w:rPr>
                    <w:rFonts w:ascii="Cambria Math" w:hAnsi="Cambria Math" w:cs="Times New Roman"/>
                    <w:lang w:val="en-GB"/>
                  </w:rPr>
                  <m:t>i</m:t>
                </m:r>
              </m:sub>
            </m:sSub>
          </m:e>
        </m:d>
        <m:r>
          <w:rPr>
            <w:rFonts w:ascii="Cambria Math" w:hAnsi="Cambria Math" w:cs="Times New Roman"/>
            <w:lang w:val="en-GB"/>
          </w:rPr>
          <m:t>=0</m:t>
        </m:r>
      </m:oMath>
      <w:r w:rsidR="00AB2AD3" w:rsidRPr="00D85472">
        <w:rPr>
          <w:rFonts w:eastAsiaTheme="minorEastAsia" w:cs="Times New Roman"/>
          <w:lang w:val="en-GB"/>
        </w:rPr>
        <w:t xml:space="preserve">, </w:t>
      </w:r>
      <w:r w:rsidRPr="00D85472">
        <w:rPr>
          <w:rFonts w:eastAsiaTheme="minorEastAsia"/>
          <w:lang w:val="en-GB"/>
        </w:rPr>
        <w:t xml:space="preserve">indicating that </w:t>
      </w:r>
      <w:r w:rsidR="00AB2AD3" w:rsidRPr="00D85472">
        <w:rPr>
          <w:rFonts w:cs="Times New Roman"/>
          <w:lang w:val="en-GB"/>
        </w:rPr>
        <w:t xml:space="preserve">the explanatory variables are exogenous. </w:t>
      </w:r>
      <w:proofErr w:type="spellStart"/>
      <w:r w:rsidR="00AB2AD3" w:rsidRPr="00D85472">
        <w:rPr>
          <w:rFonts w:cs="Times New Roman"/>
          <w:i/>
          <w:lang w:val="en-GB"/>
        </w:rPr>
        <w:t>Breusch</w:t>
      </w:r>
      <w:proofErr w:type="spellEnd"/>
      <w:r w:rsidR="00AB2AD3" w:rsidRPr="00D85472">
        <w:rPr>
          <w:rFonts w:cs="Times New Roman"/>
          <w:i/>
          <w:lang w:val="en-GB"/>
        </w:rPr>
        <w:t>- Pagan test</w:t>
      </w:r>
      <w:r w:rsidR="00AB2AD3" w:rsidRPr="00D85472">
        <w:rPr>
          <w:rFonts w:cs="Times New Roman"/>
          <w:lang w:val="en-GB"/>
        </w:rPr>
        <w:t xml:space="preserve"> rejects the null hypothesis of constant variance </w:t>
      </w:r>
      <w:r w:rsidRPr="00D85472">
        <w:rPr>
          <w:lang w:val="en-GB"/>
        </w:rPr>
        <w:t>across time-specific models</w:t>
      </w:r>
      <w:r w:rsidR="00AB2AD3" w:rsidRPr="00D85472">
        <w:rPr>
          <w:rFonts w:cs="Times New Roman"/>
          <w:lang w:val="en-GB"/>
        </w:rPr>
        <w:t>. Since in practice no autocorrelation is rarely observed</w:t>
      </w:r>
      <w:r w:rsidRPr="00D85472">
        <w:rPr>
          <w:lang w:val="en-GB"/>
        </w:rPr>
        <w:t>,</w:t>
      </w:r>
      <w:r w:rsidR="00AB2AD3" w:rsidRPr="00D85472">
        <w:rPr>
          <w:rFonts w:cs="Times New Roman"/>
          <w:lang w:val="en-GB"/>
        </w:rPr>
        <w:t xml:space="preserve"> we </w:t>
      </w:r>
      <w:r w:rsidRPr="00D85472">
        <w:rPr>
          <w:lang w:val="en-GB"/>
        </w:rPr>
        <w:t xml:space="preserve">estimate the models with </w:t>
      </w:r>
      <w:r w:rsidR="00AB2AD3" w:rsidRPr="00D85472">
        <w:rPr>
          <w:rFonts w:cs="Times New Roman"/>
          <w:lang w:val="en-GB"/>
        </w:rPr>
        <w:t>cluster-robust standard errors (</w:t>
      </w:r>
      <w:proofErr w:type="spellStart"/>
      <w:r w:rsidR="00AB2AD3" w:rsidRPr="00D85472">
        <w:rPr>
          <w:rFonts w:cs="Times New Roman"/>
          <w:lang w:val="en-GB"/>
        </w:rPr>
        <w:t>Schmidheiny</w:t>
      </w:r>
      <w:proofErr w:type="spellEnd"/>
      <w:r w:rsidR="00AB2AD3" w:rsidRPr="00D85472">
        <w:rPr>
          <w:rFonts w:cs="Times New Roman"/>
          <w:lang w:val="en-GB"/>
        </w:rPr>
        <w:t>, 2014)</w:t>
      </w:r>
      <w:r w:rsidRPr="00D85472">
        <w:rPr>
          <w:lang w:val="en-GB"/>
        </w:rPr>
        <w:t xml:space="preserve"> that also </w:t>
      </w:r>
      <w:r w:rsidR="00AB2AD3" w:rsidRPr="00D85472">
        <w:rPr>
          <w:rFonts w:cs="Times New Roman"/>
          <w:lang w:val="en-GB"/>
        </w:rPr>
        <w:t xml:space="preserve">helps to resolve the problem of </w:t>
      </w:r>
      <w:proofErr w:type="spellStart"/>
      <w:r w:rsidR="00AB2AD3" w:rsidRPr="00D85472">
        <w:rPr>
          <w:rFonts w:cs="Times New Roman"/>
          <w:lang w:val="en-GB"/>
        </w:rPr>
        <w:t>heteroskedasticity</w:t>
      </w:r>
      <w:proofErr w:type="spellEnd"/>
      <w:r w:rsidR="00AB2AD3" w:rsidRPr="00D85472">
        <w:rPr>
          <w:rFonts w:cs="Times New Roman"/>
          <w:lang w:val="en-GB"/>
        </w:rPr>
        <w:t xml:space="preserve"> and autocorrelation in all models. </w:t>
      </w:r>
    </w:p>
    <w:p w14:paraId="287ABE81" w14:textId="77777777" w:rsidR="00091EDC" w:rsidRPr="00D85472" w:rsidRDefault="00091EDC" w:rsidP="00D85472">
      <w:pPr>
        <w:spacing w:after="0" w:line="240" w:lineRule="auto"/>
        <w:jc w:val="both"/>
        <w:rPr>
          <w:rFonts w:eastAsiaTheme="minorEastAsia" w:cs="Times New Roman"/>
          <w:lang w:val="en-GB"/>
        </w:rPr>
      </w:pPr>
    </w:p>
    <w:p w14:paraId="1F50016D" w14:textId="77777777" w:rsidR="00D85472" w:rsidRPr="00D85472" w:rsidRDefault="00D85472">
      <w:pPr>
        <w:rPr>
          <w:rFonts w:eastAsiaTheme="minorEastAsia" w:cs="Times New Roman"/>
          <w:lang w:val="en-GB"/>
        </w:rPr>
      </w:pPr>
      <w:r w:rsidRPr="00D85472">
        <w:rPr>
          <w:rFonts w:eastAsiaTheme="minorEastAsia" w:cs="Times New Roman"/>
          <w:lang w:val="en-GB"/>
        </w:rPr>
        <w:br w:type="page"/>
      </w:r>
    </w:p>
    <w:p w14:paraId="5BFAA59B" w14:textId="70E1BE57" w:rsidR="0043746E" w:rsidRPr="00D85472" w:rsidRDefault="0043746E" w:rsidP="00D85472">
      <w:pPr>
        <w:spacing w:after="0" w:line="240" w:lineRule="auto"/>
        <w:jc w:val="both"/>
        <w:rPr>
          <w:rFonts w:eastAsiaTheme="minorEastAsia" w:cs="Times New Roman"/>
          <w:lang w:val="en-GB"/>
        </w:rPr>
      </w:pPr>
      <w:r w:rsidRPr="00D85472">
        <w:rPr>
          <w:rFonts w:eastAsiaTheme="minorEastAsia" w:cs="Times New Roman"/>
          <w:lang w:val="en-GB"/>
        </w:rPr>
        <w:t>Results</w:t>
      </w:r>
    </w:p>
    <w:p w14:paraId="21558136" w14:textId="77777777" w:rsidR="0092208A" w:rsidRPr="00D85472" w:rsidRDefault="0092208A" w:rsidP="00D85472">
      <w:pPr>
        <w:spacing w:after="0" w:line="240" w:lineRule="auto"/>
        <w:jc w:val="both"/>
        <w:rPr>
          <w:rFonts w:eastAsiaTheme="minorEastAsia" w:cs="Times New Roman"/>
          <w:lang w:val="en-GB"/>
        </w:rPr>
      </w:pPr>
    </w:p>
    <w:p w14:paraId="28E5AA55" w14:textId="0D257A01" w:rsidR="000E3325" w:rsidRPr="00D85472" w:rsidRDefault="0092208A" w:rsidP="00D85472">
      <w:pPr>
        <w:spacing w:after="0" w:line="240" w:lineRule="auto"/>
        <w:jc w:val="both"/>
        <w:rPr>
          <w:rFonts w:eastAsiaTheme="minorEastAsia" w:cs="Times New Roman"/>
          <w:lang w:val="en-GB"/>
        </w:rPr>
      </w:pPr>
      <w:r w:rsidRPr="00D85472">
        <w:rPr>
          <w:rFonts w:eastAsiaTheme="minorEastAsia" w:cs="Times New Roman"/>
          <w:lang w:val="en-GB"/>
        </w:rPr>
        <w:t xml:space="preserve">The effect of insulation project on </w:t>
      </w:r>
      <w:r w:rsidRPr="00D85472">
        <w:rPr>
          <w:rFonts w:cs="Times New Roman"/>
          <w:lang w:val="en-GB"/>
        </w:rPr>
        <w:t xml:space="preserve">energy consumption normalised per floor area per year </w:t>
      </w:r>
      <w:r w:rsidR="000E3325" w:rsidRPr="00D85472">
        <w:rPr>
          <w:rFonts w:cs="Times New Roman"/>
          <w:lang w:val="en-GB"/>
        </w:rPr>
        <w:t xml:space="preserve">and </w:t>
      </w:r>
      <w:r w:rsidR="000E3325" w:rsidRPr="00D85472">
        <w:rPr>
          <w:rFonts w:eastAsiaTheme="minorEastAsia" w:cs="Times New Roman"/>
          <w:lang w:val="en-GB"/>
        </w:rPr>
        <w:t>adjusted for weather conditions</w:t>
      </w:r>
      <w:r w:rsidR="000E3325" w:rsidRPr="00D85472">
        <w:rPr>
          <w:rFonts w:cs="Times New Roman"/>
          <w:lang w:val="en-GB"/>
        </w:rPr>
        <w:t xml:space="preserve"> </w:t>
      </w:r>
      <w:r w:rsidRPr="00D85472">
        <w:rPr>
          <w:rFonts w:cs="Times New Roman"/>
          <w:lang w:val="en-GB"/>
        </w:rPr>
        <w:t>(</w:t>
      </w:r>
      <w:r w:rsidRPr="00D85472">
        <w:rPr>
          <w:rFonts w:eastAsiaTheme="minorEastAsia" w:cs="Times New Roman"/>
          <w:lang w:val="en-GB"/>
        </w:rPr>
        <w:t>SECA) is analysed in absolute terms (in GJ) as well as in relative terms (%)</w:t>
      </w:r>
      <w:r w:rsidR="000E3325" w:rsidRPr="00D85472">
        <w:rPr>
          <w:rFonts w:eastAsiaTheme="minorEastAsia" w:cs="Times New Roman"/>
          <w:lang w:val="en-GB"/>
        </w:rPr>
        <w:t xml:space="preserve"> estimating following two models</w:t>
      </w:r>
    </w:p>
    <w:p w14:paraId="3E9DF2C3" w14:textId="77777777" w:rsidR="000E3325" w:rsidRPr="00D85472" w:rsidRDefault="000E3325" w:rsidP="00D85472">
      <w:pPr>
        <w:spacing w:after="0" w:line="240" w:lineRule="auto"/>
        <w:jc w:val="both"/>
        <w:rPr>
          <w:rFonts w:eastAsiaTheme="minorEastAsia" w:cs="Times New Roman"/>
          <w:lang w:val="en-GB"/>
        </w:rPr>
      </w:pPr>
    </w:p>
    <w:p w14:paraId="46FFBD17" w14:textId="77777777" w:rsidR="000E3325" w:rsidRPr="00D85472" w:rsidRDefault="00456A29" w:rsidP="00D85472">
      <w:pPr>
        <w:spacing w:after="0" w:line="240" w:lineRule="auto"/>
        <w:jc w:val="both"/>
        <w:rPr>
          <w:rFonts w:eastAsiaTheme="minorEastAsia"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SECA</m:t>
              </m:r>
            </m:e>
            <m:sub>
              <m:r>
                <w:rPr>
                  <w:rFonts w:ascii="Cambria Math"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α</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1</m:t>
              </m:r>
            </m:sub>
          </m:sSub>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PROJECT</m:t>
              </m:r>
            </m:e>
            <m:sub>
              <m:r>
                <w:rPr>
                  <w:rFonts w:ascii="Cambria Math" w:eastAsiaTheme="minorEastAsia"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u</m:t>
              </m:r>
            </m:e>
            <m:sub>
              <m:r>
                <w:rPr>
                  <w:rFonts w:ascii="Cambria Math" w:eastAsiaTheme="minorEastAsia" w:hAnsi="Cambria Math" w:cs="Times New Roman"/>
                  <w:lang w:val="en-GB"/>
                </w:rPr>
                <m:t>it</m:t>
              </m:r>
            </m:sub>
          </m:sSub>
        </m:oMath>
      </m:oMathPara>
    </w:p>
    <w:p w14:paraId="2EB13C65" w14:textId="77777777" w:rsidR="0092208A" w:rsidRPr="00D85472" w:rsidRDefault="0092208A" w:rsidP="00D85472">
      <w:pPr>
        <w:spacing w:after="0" w:line="240" w:lineRule="auto"/>
        <w:jc w:val="both"/>
        <w:rPr>
          <w:rFonts w:eastAsiaTheme="minorEastAsia" w:cs="Times New Roman"/>
          <w:lang w:val="en-GB"/>
        </w:rPr>
      </w:pPr>
    </w:p>
    <w:p w14:paraId="55CA69C9" w14:textId="76921FB6" w:rsidR="009B62DC" w:rsidRPr="00D85472" w:rsidRDefault="000E3325" w:rsidP="00D85472">
      <w:pPr>
        <w:spacing w:after="0" w:line="240" w:lineRule="auto"/>
        <w:jc w:val="both"/>
        <w:rPr>
          <w:rFonts w:cs="Times New Roman"/>
          <w:lang w:val="en-GB"/>
        </w:rPr>
      </w:pPr>
      <w:r w:rsidRPr="00D85472">
        <w:rPr>
          <w:rFonts w:eastAsiaTheme="minorEastAsia" w:cs="Times New Roman"/>
          <w:lang w:val="en-GB"/>
        </w:rPr>
        <w:t xml:space="preserve">The coefficient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α</m:t>
                </m:r>
              </m:e>
            </m:acc>
          </m:e>
          <m:sub>
            <m:r>
              <w:rPr>
                <w:rFonts w:ascii="Cambria Math" w:eastAsiaTheme="minorEastAsia" w:hAnsi="Cambria Math" w:cs="Times New Roman"/>
                <w:lang w:val="en-GB"/>
              </w:rPr>
              <m:t>1</m:t>
            </m:r>
          </m:sub>
        </m:sSub>
      </m:oMath>
      <w:r w:rsidRPr="00D85472">
        <w:rPr>
          <w:rFonts w:eastAsiaTheme="minorEastAsia" w:cs="Times New Roman"/>
          <w:lang w:val="en-GB"/>
        </w:rPr>
        <w:t xml:space="preserve"> shows an average SECA without project (dummy PROJECT=0), including the average effect of individual-specific intercepts (unobserved effects) on </w:t>
      </w:r>
      <w:r w:rsidRPr="00D85472">
        <w:rPr>
          <w:rFonts w:eastAsiaTheme="minorEastAsia" w:cs="Times New Roman"/>
          <w:i/>
          <w:lang w:val="en-GB"/>
        </w:rPr>
        <w:t>SECA</w:t>
      </w:r>
      <w:r w:rsidRPr="00D85472">
        <w:rPr>
          <w:rFonts w:eastAsiaTheme="minorEastAsia" w:cs="Times New Roman"/>
          <w:lang w:val="en-GB"/>
        </w:rPr>
        <w:t xml:space="preserve"> (Wooldridge, 2012). </w:t>
      </w:r>
      <w:r w:rsidRPr="00D85472">
        <w:rPr>
          <w:rFonts w:cs="Times New Roman"/>
          <w:lang w:val="en-GB"/>
        </w:rPr>
        <w:t xml:space="preserve">Coefficient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1</m:t>
            </m:r>
          </m:sub>
        </m:sSub>
      </m:oMath>
      <w:r w:rsidRPr="00D85472">
        <w:rPr>
          <w:rFonts w:eastAsiaTheme="minorEastAsia" w:cs="Times New Roman"/>
          <w:lang w:val="en-GB"/>
        </w:rPr>
        <w:t xml:space="preserve"> is statistically significant</w:t>
      </w:r>
      <w:r w:rsidRPr="00D85472">
        <w:rPr>
          <w:rFonts w:cs="Times New Roman"/>
          <w:lang w:val="en-GB"/>
        </w:rPr>
        <w:t xml:space="preserve"> at 1% significance level.</w:t>
      </w:r>
      <w:r w:rsidRPr="00D85472">
        <w:rPr>
          <w:rFonts w:eastAsiaTheme="minorEastAsia" w:cs="Times New Roman"/>
          <w:lang w:val="en-GB"/>
        </w:rPr>
        <w:t xml:space="preserve"> Thermal insulation (</w:t>
      </w:r>
      <w:r w:rsidRPr="00D85472">
        <w:rPr>
          <w:rFonts w:cs="Times New Roman"/>
          <w:i/>
          <w:lang w:val="en-GB"/>
        </w:rPr>
        <w:t>PROJECT=1)</w:t>
      </w:r>
      <w:r w:rsidRPr="00D85472">
        <w:rPr>
          <w:rFonts w:cs="Times New Roman"/>
          <w:lang w:val="en-GB"/>
        </w:rPr>
        <w:t xml:space="preserve"> is associated with approximately 0.135 GJ/m</w:t>
      </w:r>
      <w:r w:rsidRPr="00D85472">
        <w:rPr>
          <w:rFonts w:cs="Times New Roman"/>
          <w:vertAlign w:val="superscript"/>
          <w:lang w:val="en-GB"/>
        </w:rPr>
        <w:t>2</w:t>
      </w:r>
      <w:r w:rsidRPr="00D85472">
        <w:rPr>
          <w:rFonts w:cs="Times New Roman"/>
          <w:lang w:val="en-GB"/>
        </w:rPr>
        <w:t xml:space="preserve"> decrease of </w:t>
      </w:r>
      <w:r w:rsidRPr="00D85472">
        <w:rPr>
          <w:rFonts w:cs="Times New Roman"/>
          <w:i/>
          <w:lang w:val="en-GB"/>
        </w:rPr>
        <w:t>SECA</w:t>
      </w:r>
      <w:r w:rsidRPr="00D85472">
        <w:rPr>
          <w:rFonts w:cs="Times New Roman"/>
          <w:lang w:val="en-GB"/>
        </w:rPr>
        <w:t xml:space="preserve"> per year.</w:t>
      </w:r>
      <w:r w:rsidR="009B62DC" w:rsidRPr="00D85472">
        <w:rPr>
          <w:rStyle w:val="Znakapoznpodarou"/>
          <w:rFonts w:cs="Times New Roman"/>
          <w:lang w:val="en-GB"/>
        </w:rPr>
        <w:footnoteReference w:id="2"/>
      </w:r>
      <w:r w:rsidRPr="00D85472">
        <w:rPr>
          <w:rFonts w:cs="Times New Roman"/>
          <w:lang w:val="en-GB"/>
        </w:rPr>
        <w:t xml:space="preserve"> In relative terms, PROJECT results in energy savings by 35%. </w:t>
      </w:r>
      <w:r w:rsidR="009B62DC" w:rsidRPr="00D85472">
        <w:rPr>
          <w:rFonts w:cs="Times New Roman"/>
          <w:lang w:val="en-GB"/>
        </w:rPr>
        <w:t>Further, controlling for time trend in insulation affect (measured by years after the insulation), we do not find any substantial effect of learning or depreciation, with only small effect of time after the insulation on energy consumption at 0.001 GJ/ m</w:t>
      </w:r>
      <w:r w:rsidR="009B62DC" w:rsidRPr="00D85472">
        <w:rPr>
          <w:rFonts w:cs="Times New Roman"/>
          <w:vertAlign w:val="superscript"/>
          <w:lang w:val="en-GB"/>
        </w:rPr>
        <w:t>2</w:t>
      </w:r>
      <w:r w:rsidR="009B62DC" w:rsidRPr="00D85472">
        <w:rPr>
          <w:rFonts w:cs="Times New Roman"/>
          <w:lang w:val="en-GB"/>
        </w:rPr>
        <w:t xml:space="preserve"> per year. Detailed inspection indicates some learning, as </w:t>
      </w:r>
      <w:r w:rsidR="009B62DC" w:rsidRPr="00D85472">
        <w:rPr>
          <w:rFonts w:eastAsiaTheme="minorEastAsia" w:cs="Times New Roman"/>
          <w:lang w:val="en-GB"/>
        </w:rPr>
        <w:t>people saved about 0.130 GJ/m</w:t>
      </w:r>
      <w:r w:rsidR="009B62DC" w:rsidRPr="00D85472">
        <w:rPr>
          <w:rFonts w:eastAsiaTheme="minorEastAsia" w:cs="Times New Roman"/>
          <w:vertAlign w:val="superscript"/>
          <w:lang w:val="en-GB"/>
        </w:rPr>
        <w:t>2</w:t>
      </w:r>
      <w:r w:rsidR="009B62DC" w:rsidRPr="00D85472">
        <w:rPr>
          <w:rFonts w:eastAsiaTheme="minorEastAsia" w:cs="Times New Roman"/>
          <w:lang w:val="en-GB"/>
        </w:rPr>
        <w:t xml:space="preserve"> during the first year of the insulation, and then another 0.010 GJ/m</w:t>
      </w:r>
      <w:r w:rsidR="009B62DC" w:rsidRPr="00D85472">
        <w:rPr>
          <w:rFonts w:eastAsiaTheme="minorEastAsia" w:cs="Times New Roman"/>
          <w:vertAlign w:val="superscript"/>
          <w:lang w:val="en-GB"/>
        </w:rPr>
        <w:t>2</w:t>
      </w:r>
      <w:r w:rsidR="009B62DC" w:rsidRPr="00D85472">
        <w:rPr>
          <w:rFonts w:eastAsiaTheme="minorEastAsia" w:cs="Times New Roman"/>
          <w:lang w:val="en-GB"/>
        </w:rPr>
        <w:t xml:space="preserve"> in the second year after the insulation, while in the third year the coefficient on dummy variable is small and negative (0.003 GJ/ m</w:t>
      </w:r>
      <w:r w:rsidR="009B62DC" w:rsidRPr="00D85472">
        <w:rPr>
          <w:rFonts w:eastAsiaTheme="minorEastAsia" w:cs="Times New Roman"/>
          <w:vertAlign w:val="superscript"/>
          <w:lang w:val="en-GB"/>
        </w:rPr>
        <w:t>2</w:t>
      </w:r>
      <w:r w:rsidR="009B62DC" w:rsidRPr="00D85472">
        <w:rPr>
          <w:rFonts w:eastAsiaTheme="minorEastAsia" w:cs="Times New Roman"/>
          <w:lang w:val="en-GB"/>
        </w:rPr>
        <w:t xml:space="preserve">), but not significant. </w:t>
      </w:r>
    </w:p>
    <w:p w14:paraId="29013E44" w14:textId="77777777" w:rsidR="00D85472" w:rsidRPr="00D85472" w:rsidRDefault="00D85472" w:rsidP="00D85472">
      <w:pPr>
        <w:spacing w:after="0" w:line="240" w:lineRule="auto"/>
        <w:jc w:val="both"/>
        <w:rPr>
          <w:rFonts w:cs="Times New Roman"/>
          <w:lang w:val="en-GB"/>
        </w:rPr>
      </w:pPr>
    </w:p>
    <w:p w14:paraId="7882D906" w14:textId="1C26BE6A" w:rsidR="000E3325" w:rsidRPr="00D85472" w:rsidRDefault="009B62DC" w:rsidP="00D85472">
      <w:pPr>
        <w:spacing w:after="0" w:line="240" w:lineRule="auto"/>
        <w:jc w:val="both"/>
        <w:rPr>
          <w:rFonts w:cs="Times New Roman"/>
          <w:lang w:val="en-GB"/>
        </w:rPr>
      </w:pPr>
      <w:r w:rsidRPr="00D85472">
        <w:rPr>
          <w:rFonts w:cs="Times New Roman"/>
          <w:lang w:val="en-GB"/>
        </w:rPr>
        <w:t>Next model examines the effect of insulation introduced in different time</w:t>
      </w:r>
      <w:r w:rsidR="00716844" w:rsidRPr="00D85472">
        <w:rPr>
          <w:rFonts w:cs="Times New Roman"/>
          <w:lang w:val="en-GB"/>
        </w:rPr>
        <w:t xml:space="preserve"> (2007-2009 then dummy </w:t>
      </w:r>
      <w:r w:rsidR="00716844" w:rsidRPr="00D85472">
        <w:rPr>
          <w:rFonts w:cs="Times New Roman"/>
          <w:i/>
          <w:lang w:val="en-GB"/>
        </w:rPr>
        <w:t>P2009</w:t>
      </w:r>
      <w:r w:rsidR="00716844" w:rsidRPr="00D85472">
        <w:rPr>
          <w:rFonts w:cs="Times New Roman"/>
          <w:lang w:val="en-GB"/>
        </w:rPr>
        <w:t xml:space="preserve"> equals to 1, or after 2012 then </w:t>
      </w:r>
      <w:r w:rsidR="00716844" w:rsidRPr="00D85472">
        <w:rPr>
          <w:rFonts w:cs="Times New Roman"/>
          <w:i/>
          <w:lang w:val="en-GB"/>
        </w:rPr>
        <w:t>P2012</w:t>
      </w:r>
      <w:r w:rsidR="00716844" w:rsidRPr="00D85472">
        <w:rPr>
          <w:rFonts w:cs="Times New Roman"/>
          <w:lang w:val="en-GB"/>
        </w:rPr>
        <w:t>=1):</w:t>
      </w:r>
    </w:p>
    <w:p w14:paraId="5B5362C6" w14:textId="77777777" w:rsidR="00D85472" w:rsidRPr="00D85472" w:rsidRDefault="00D85472" w:rsidP="00D85472">
      <w:pPr>
        <w:spacing w:after="0" w:line="240" w:lineRule="auto"/>
        <w:jc w:val="both"/>
        <w:rPr>
          <w:rFonts w:cs="Times New Roman"/>
          <w:lang w:val="en-GB"/>
        </w:rPr>
      </w:pPr>
    </w:p>
    <w:p w14:paraId="14234572" w14:textId="3173B447" w:rsidR="009B62DC" w:rsidRPr="00D85472" w:rsidRDefault="00456A29" w:rsidP="00D85472">
      <w:pPr>
        <w:spacing w:after="0" w:line="240" w:lineRule="auto"/>
        <w:ind w:left="426"/>
        <w:jc w:val="both"/>
        <w:rPr>
          <w:rFonts w:cs="Times New Roman"/>
          <w:lang w:val="en-GB"/>
        </w:rPr>
      </w:pPr>
      <m:oMath>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SECA</m:t>
            </m:r>
          </m:e>
          <m:sub>
            <m:r>
              <w:rPr>
                <w:rFonts w:ascii="Cambria Math" w:eastAsiaTheme="minorEastAsia"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α</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1</m:t>
            </m:r>
          </m:sub>
        </m:sSub>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PROJECT</m:t>
            </m:r>
          </m:e>
          <m:sub>
            <m:r>
              <w:rPr>
                <w:rFonts w:ascii="Cambria Math" w:eastAsiaTheme="minorEastAsia"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2</m:t>
            </m:r>
          </m:sub>
        </m:sSub>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PROJECT×P2009</m:t>
            </m:r>
          </m:e>
          <m:sub>
            <m:r>
              <w:rPr>
                <w:rFonts w:ascii="Cambria Math" w:eastAsiaTheme="minorEastAsia"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3</m:t>
                </m:r>
              </m:sub>
            </m:sSub>
            <m:r>
              <w:rPr>
                <w:rFonts w:ascii="Cambria Math" w:eastAsiaTheme="minorEastAsia" w:hAnsi="Cambria Math" w:cs="Times New Roman"/>
                <w:lang w:val="en-GB"/>
              </w:rPr>
              <m:t>PROJECT×P2012</m:t>
            </m:r>
          </m:e>
          <m:sub>
            <m:r>
              <w:rPr>
                <w:rFonts w:ascii="Cambria Math" w:eastAsiaTheme="minorEastAsia"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u</m:t>
            </m:r>
          </m:e>
          <m:sub>
            <m:r>
              <w:rPr>
                <w:rFonts w:ascii="Cambria Math" w:eastAsiaTheme="minorEastAsia" w:hAnsi="Cambria Math" w:cs="Times New Roman"/>
                <w:lang w:val="en-GB"/>
              </w:rPr>
              <m:t>it</m:t>
            </m:r>
          </m:sub>
        </m:sSub>
      </m:oMath>
      <w:r w:rsidR="009B62DC" w:rsidRPr="00D85472">
        <w:rPr>
          <w:rFonts w:eastAsiaTheme="minorEastAsia" w:cs="Times New Roman"/>
          <w:lang w:val="en-GB"/>
        </w:rPr>
        <w:t xml:space="preserve"> </w:t>
      </w:r>
    </w:p>
    <w:p w14:paraId="11BC17A7" w14:textId="77777777" w:rsidR="000E3325" w:rsidRPr="00D85472" w:rsidRDefault="000E3325" w:rsidP="00D85472">
      <w:pPr>
        <w:spacing w:after="0" w:line="240" w:lineRule="auto"/>
        <w:jc w:val="both"/>
        <w:rPr>
          <w:rFonts w:eastAsiaTheme="minorEastAsia" w:cs="Times New Roman"/>
          <w:lang w:val="en-GB"/>
        </w:rPr>
      </w:pPr>
    </w:p>
    <w:p w14:paraId="2D67E595" w14:textId="02C3DFAA" w:rsidR="00716844" w:rsidRPr="00D85472" w:rsidRDefault="00716844" w:rsidP="00D85472">
      <w:pPr>
        <w:spacing w:after="0" w:line="240" w:lineRule="auto"/>
        <w:jc w:val="both"/>
        <w:rPr>
          <w:rFonts w:eastAsiaTheme="minorEastAsia" w:cs="Times New Roman"/>
          <w:lang w:val="en-GB"/>
        </w:rPr>
      </w:pPr>
      <w:r w:rsidRPr="00D85472">
        <w:rPr>
          <w:rFonts w:eastAsiaTheme="minorEastAsia" w:cs="Times New Roman"/>
          <w:lang w:val="en-GB"/>
        </w:rPr>
        <w:t xml:space="preserve">The coefficient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1</m:t>
            </m:r>
          </m:sub>
        </m:sSub>
      </m:oMath>
      <w:r w:rsidRPr="00D85472">
        <w:rPr>
          <w:rFonts w:eastAsiaTheme="minorEastAsia" w:cs="Times New Roman"/>
          <w:lang w:val="en-GB"/>
        </w:rPr>
        <w:t xml:space="preserve"> corresponds to the effect of insulation on </w:t>
      </w:r>
      <w:r w:rsidRPr="00D85472">
        <w:rPr>
          <w:rFonts w:eastAsiaTheme="minorEastAsia" w:cs="Times New Roman"/>
          <w:i/>
          <w:lang w:val="en-GB"/>
        </w:rPr>
        <w:t>SECA, while t</w:t>
      </w:r>
      <w:r w:rsidRPr="00D85472">
        <w:rPr>
          <w:rFonts w:eastAsiaTheme="minorEastAsia" w:cs="Times New Roman"/>
          <w:lang w:val="en-GB"/>
        </w:rPr>
        <w:t xml:space="preserve">he coefficients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2</m:t>
            </m:r>
          </m:sub>
        </m:sSub>
      </m:oMath>
      <w:r w:rsidRPr="00D85472">
        <w:rPr>
          <w:rFonts w:eastAsiaTheme="minorEastAsia" w:cs="Times New Roman"/>
          <w:lang w:val="en-GB"/>
        </w:rPr>
        <w:t xml:space="preserve"> and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3</m:t>
            </m:r>
          </m:sub>
        </m:sSub>
      </m:oMath>
      <w:r w:rsidRPr="00D85472">
        <w:rPr>
          <w:rFonts w:eastAsiaTheme="minorEastAsia" w:cs="Times New Roman"/>
          <w:lang w:val="en-GB"/>
        </w:rPr>
        <w:t xml:space="preserve"> are additional effects on insulation considering the period when the insulation was made. We </w:t>
      </w:r>
      <w:r w:rsidRPr="00D85472">
        <w:rPr>
          <w:rFonts w:eastAsiaTheme="minorEastAsia" w:cs="Times New Roman"/>
          <w:i/>
          <w:lang w:val="en-GB"/>
        </w:rPr>
        <w:t>a priori</w:t>
      </w:r>
      <w:r w:rsidRPr="00D85472">
        <w:rPr>
          <w:rFonts w:eastAsiaTheme="minorEastAsia" w:cs="Times New Roman"/>
          <w:lang w:val="en-GB"/>
        </w:rPr>
        <w:t xml:space="preserve"> hypothesized the effect </w:t>
      </w:r>
      <m:oMath>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2</m:t>
            </m:r>
          </m:sub>
        </m:sSub>
        <m:r>
          <w:rPr>
            <w:rFonts w:ascii="Cambria Math" w:eastAsiaTheme="minorEastAsia" w:hAnsi="Cambria Math" w:cs="Times New Roman"/>
            <w:lang w:val="en-GB"/>
          </w:rPr>
          <m:t>)</m:t>
        </m:r>
      </m:oMath>
      <w:r w:rsidRPr="00D85472">
        <w:rPr>
          <w:rFonts w:eastAsiaTheme="minorEastAsia" w:cs="Times New Roman"/>
          <w:lang w:val="en-GB"/>
        </w:rPr>
        <w:t xml:space="preserve"> to be smaller than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3</m:t>
            </m:r>
          </m:sub>
        </m:sSub>
        <m:r>
          <w:rPr>
            <w:rFonts w:ascii="Cambria Math" w:eastAsiaTheme="minorEastAsia" w:hAnsi="Cambria Math" w:cs="Times New Roman"/>
            <w:lang w:val="en-GB"/>
          </w:rPr>
          <m:t>)</m:t>
        </m:r>
      </m:oMath>
      <w:r w:rsidRPr="00D85472">
        <w:rPr>
          <w:rFonts w:eastAsiaTheme="minorEastAsia" w:cs="Times New Roman"/>
          <w:lang w:val="en-GB"/>
        </w:rPr>
        <w:t xml:space="preserve">, assuming the effects of autonomous technology improvement over time. Early investment (in 2007-2009) did not result in different effect than the insulations made during 2010-2011 (p-value = 0.45), but the coefficient for the latter interaction is significant at 5% significance level and negative, indicating that the insulation projects that were realized since 2012 on led to about one third lower energy savings than the projects implemented before 2012. </w:t>
      </w:r>
    </w:p>
    <w:p w14:paraId="2FBE859B" w14:textId="77777777" w:rsidR="00D85472" w:rsidRPr="00D85472" w:rsidRDefault="00D85472" w:rsidP="00D85472">
      <w:pPr>
        <w:spacing w:after="0" w:line="240" w:lineRule="auto"/>
        <w:jc w:val="both"/>
        <w:rPr>
          <w:rFonts w:eastAsiaTheme="minorEastAsia" w:cs="Times New Roman"/>
          <w:lang w:val="en-GB"/>
        </w:rPr>
      </w:pPr>
    </w:p>
    <w:p w14:paraId="52B5457D" w14:textId="3DB9D675" w:rsidR="00084A42" w:rsidRPr="00D85472" w:rsidRDefault="00084A42" w:rsidP="00D85472">
      <w:pPr>
        <w:spacing w:after="0" w:line="240" w:lineRule="auto"/>
        <w:jc w:val="both"/>
        <w:rPr>
          <w:rFonts w:eastAsiaTheme="minorEastAsia" w:cs="Times New Roman"/>
          <w:lang w:val="en-GB"/>
        </w:rPr>
      </w:pPr>
      <w:r w:rsidRPr="00D85472">
        <w:rPr>
          <w:rFonts w:eastAsiaTheme="minorEastAsia" w:cs="Times New Roman"/>
          <w:lang w:val="en-GB"/>
        </w:rPr>
        <w:t>Next, we analyse the effect on energy consumption per one million CZK invested in insulation after controlling for other factors (observed as well as unobserved):</w:t>
      </w:r>
    </w:p>
    <w:p w14:paraId="2DB744FA" w14:textId="77777777" w:rsidR="00D85472" w:rsidRPr="00D85472" w:rsidRDefault="00D85472" w:rsidP="00D85472">
      <w:pPr>
        <w:spacing w:after="0" w:line="240" w:lineRule="auto"/>
        <w:jc w:val="both"/>
        <w:rPr>
          <w:rFonts w:eastAsiaTheme="minorEastAsia" w:cs="Times New Roman"/>
          <w:lang w:val="en-GB"/>
        </w:rPr>
      </w:pPr>
    </w:p>
    <w:p w14:paraId="01EAF257" w14:textId="2D5F9F11" w:rsidR="00084A42" w:rsidRPr="00D85472" w:rsidRDefault="00456A29" w:rsidP="00D85472">
      <w:pPr>
        <w:spacing w:after="0" w:line="240" w:lineRule="auto"/>
        <w:jc w:val="both"/>
        <w:rPr>
          <w:rFonts w:eastAsiaTheme="minorEastAsia" w:cs="Times New Roman"/>
          <w:lang w:val="en-GB"/>
        </w:rPr>
      </w:pPr>
      <m:oMathPara>
        <m:oMath>
          <m:sSub>
            <m:sSubPr>
              <m:ctrlPr>
                <w:rPr>
                  <w:rFonts w:ascii="Cambria Math" w:hAnsi="Cambria Math" w:cs="Times New Roman"/>
                  <w:i/>
                  <w:lang w:val="en-GB"/>
                </w:rPr>
              </m:ctrlPr>
            </m:sSubPr>
            <m:e>
              <m:r>
                <w:rPr>
                  <w:rFonts w:ascii="Cambria Math" w:hAnsi="Cambria Math" w:cs="Times New Roman"/>
                  <w:lang w:val="en-GB"/>
                </w:rPr>
                <m:t>SECA</m:t>
              </m:r>
            </m:e>
            <m:sub>
              <m:r>
                <w:rPr>
                  <w:rFonts w:ascii="Cambria Math" w:hAnsi="Cambria Math" w:cs="Times New Roman"/>
                  <w:lang w:val="en-GB"/>
                </w:rPr>
                <m:t>it</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α</m:t>
              </m:r>
            </m:e>
            <m:sub>
              <m:r>
                <w:rPr>
                  <w:rFonts w:ascii="Cambria Math" w:eastAsiaTheme="minorEastAsia" w:hAnsi="Cambria Math" w:cs="Times New Roman"/>
                  <w:lang w:val="en-GB"/>
                </w:rPr>
                <m:t>1</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β</m:t>
              </m:r>
            </m:e>
            <m:sub>
              <m:r>
                <w:rPr>
                  <w:rFonts w:ascii="Cambria Math" w:eastAsiaTheme="minorEastAsia" w:hAnsi="Cambria Math" w:cs="Times New Roman"/>
                  <w:lang w:val="en-GB"/>
                </w:rPr>
                <m:t>1</m:t>
              </m:r>
            </m:sub>
          </m:sSub>
          <m:r>
            <w:rPr>
              <w:rFonts w:ascii="Cambria Math" w:hAnsi="Cambria Math" w:cs="Times New Roman"/>
              <w:lang w:val="en-GB"/>
            </w:rPr>
            <m:t>Inv6</m:t>
          </m:r>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a</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sSub>
            <m:sSubPr>
              <m:ctrlPr>
                <w:rPr>
                  <w:rFonts w:ascii="Cambria Math" w:eastAsiaTheme="minorEastAsia" w:hAnsi="Cambria Math" w:cs="Times New Roman"/>
                  <w:i/>
                  <w:lang w:val="en-GB"/>
                </w:rPr>
              </m:ctrlPr>
            </m:sSubPr>
            <m:e>
              <m:r>
                <w:rPr>
                  <w:rFonts w:ascii="Cambria Math" w:eastAsiaTheme="minorEastAsia" w:hAnsi="Cambria Math" w:cs="Times New Roman"/>
                  <w:lang w:val="en-GB"/>
                </w:rPr>
                <m:t>u</m:t>
              </m:r>
            </m:e>
            <m:sub>
              <m:r>
                <w:rPr>
                  <w:rFonts w:ascii="Cambria Math" w:eastAsiaTheme="minorEastAsia" w:hAnsi="Cambria Math" w:cs="Times New Roman"/>
                  <w:lang w:val="en-GB"/>
                </w:rPr>
                <m:t>it</m:t>
              </m:r>
            </m:sub>
          </m:sSub>
        </m:oMath>
      </m:oMathPara>
    </w:p>
    <w:p w14:paraId="3B18490D" w14:textId="77777777" w:rsidR="00D85472" w:rsidRPr="00D85472" w:rsidRDefault="00D85472" w:rsidP="00D85472">
      <w:pPr>
        <w:spacing w:after="0" w:line="240" w:lineRule="auto"/>
        <w:jc w:val="both"/>
        <w:rPr>
          <w:rFonts w:eastAsiaTheme="minorEastAsia" w:cs="Times New Roman"/>
          <w:lang w:val="en-GB"/>
        </w:rPr>
      </w:pPr>
    </w:p>
    <w:p w14:paraId="27D8CF8F" w14:textId="0A547AAB" w:rsidR="00DB7ACB" w:rsidRPr="00D85472" w:rsidRDefault="00084A42" w:rsidP="00D85472">
      <w:pPr>
        <w:spacing w:after="0" w:line="240" w:lineRule="auto"/>
        <w:jc w:val="both"/>
        <w:rPr>
          <w:rFonts w:eastAsiaTheme="minorEastAsia" w:cs="Times New Roman"/>
          <w:lang w:val="en-GB"/>
        </w:rPr>
      </w:pPr>
      <w:r w:rsidRPr="00D85472">
        <w:rPr>
          <w:rFonts w:eastAsiaTheme="minorEastAsia" w:cs="Times New Roman"/>
          <w:lang w:val="en-GB"/>
        </w:rPr>
        <w:t xml:space="preserve">The coefficient </w:t>
      </w:r>
      <m:oMath>
        <m:sSub>
          <m:sSubPr>
            <m:ctrlPr>
              <w:rPr>
                <w:rFonts w:ascii="Cambria Math" w:eastAsiaTheme="minorEastAsia" w:hAnsi="Cambria Math" w:cs="Times New Roman"/>
                <w:i/>
                <w:lang w:val="en-GB"/>
              </w:rPr>
            </m:ctrlPr>
          </m:sSubPr>
          <m:e>
            <m:acc>
              <m:accPr>
                <m:ctrlPr>
                  <w:rPr>
                    <w:rFonts w:ascii="Cambria Math" w:eastAsiaTheme="minorEastAsia" w:hAnsi="Cambria Math" w:cs="Times New Roman"/>
                    <w:i/>
                    <w:lang w:val="en-GB"/>
                  </w:rPr>
                </m:ctrlPr>
              </m:accPr>
              <m:e>
                <m:r>
                  <w:rPr>
                    <w:rFonts w:ascii="Cambria Math" w:eastAsiaTheme="minorEastAsia" w:hAnsi="Cambria Math" w:cs="Times New Roman"/>
                    <w:lang w:val="en-GB"/>
                  </w:rPr>
                  <m:t>β</m:t>
                </m:r>
              </m:e>
            </m:acc>
          </m:e>
          <m:sub>
            <m:r>
              <w:rPr>
                <w:rFonts w:ascii="Cambria Math" w:eastAsiaTheme="minorEastAsia" w:hAnsi="Cambria Math" w:cs="Times New Roman"/>
                <w:lang w:val="en-GB"/>
              </w:rPr>
              <m:t>1</m:t>
            </m:r>
          </m:sub>
        </m:sSub>
      </m:oMath>
      <w:r w:rsidRPr="00D85472">
        <w:rPr>
          <w:rFonts w:eastAsiaTheme="minorEastAsia" w:cs="Times New Roman"/>
          <w:lang w:val="en-GB"/>
        </w:rPr>
        <w:t xml:space="preserve"> is negative and highly significant and it implies that each million of CZK invested in insulation of the apartment building resulted in energy savings at the magnitude of about 0.01 </w:t>
      </w:r>
      <w:r w:rsidRPr="00D85472">
        <w:rPr>
          <w:rFonts w:cs="Times New Roman"/>
          <w:lang w:val="en-GB"/>
        </w:rPr>
        <w:t>GJ/m</w:t>
      </w:r>
      <w:r w:rsidRPr="00D85472">
        <w:rPr>
          <w:rFonts w:cs="Times New Roman"/>
          <w:vertAlign w:val="superscript"/>
          <w:lang w:val="en-GB"/>
        </w:rPr>
        <w:t>2</w:t>
      </w:r>
      <w:r w:rsidRPr="00D85472">
        <w:rPr>
          <w:rFonts w:eastAsiaTheme="minorEastAsia" w:cs="Times New Roman"/>
          <w:lang w:val="en-GB"/>
        </w:rPr>
        <w:t xml:space="preserve"> per year</w:t>
      </w:r>
      <w:r w:rsidR="009263CE" w:rsidRPr="00D85472">
        <w:rPr>
          <w:rFonts w:eastAsiaTheme="minorEastAsia" w:cs="Times New Roman"/>
          <w:lang w:val="en-GB"/>
        </w:rPr>
        <w:t xml:space="preserve"> (model 5)</w:t>
      </w:r>
      <w:r w:rsidRPr="00D85472">
        <w:rPr>
          <w:rFonts w:eastAsiaTheme="minorEastAsia" w:cs="Times New Roman"/>
          <w:lang w:val="en-GB"/>
        </w:rPr>
        <w:t xml:space="preserve">. Considering the average heated floor area </w:t>
      </w:r>
      <w:r w:rsidR="00DB7ACB" w:rsidRPr="00D85472">
        <w:rPr>
          <w:rFonts w:eastAsiaTheme="minorEastAsia" w:cs="Times New Roman"/>
          <w:lang w:val="en-GB"/>
        </w:rPr>
        <w:t xml:space="preserve">– </w:t>
      </w:r>
      <w:r w:rsidRPr="00D85472">
        <w:rPr>
          <w:rFonts w:eastAsiaTheme="minorEastAsia" w:cs="Times New Roman"/>
          <w:lang w:val="en-GB"/>
        </w:rPr>
        <w:t>that is 3</w:t>
      </w:r>
      <w:r w:rsidR="00DB7ACB" w:rsidRPr="00D85472">
        <w:rPr>
          <w:rFonts w:eastAsiaTheme="minorEastAsia" w:cs="Times New Roman"/>
          <w:lang w:val="en-GB"/>
        </w:rPr>
        <w:t>,</w:t>
      </w:r>
      <w:r w:rsidRPr="00D85472">
        <w:rPr>
          <w:rFonts w:eastAsiaTheme="minorEastAsia" w:cs="Times New Roman"/>
          <w:lang w:val="en-GB"/>
        </w:rPr>
        <w:t>628 m</w:t>
      </w:r>
      <w:r w:rsidRPr="00D85472">
        <w:rPr>
          <w:rFonts w:cs="Times New Roman"/>
          <w:vertAlign w:val="superscript"/>
          <w:lang w:val="en-GB"/>
        </w:rPr>
        <w:t>2</w:t>
      </w:r>
      <w:r w:rsidRPr="00D85472">
        <w:rPr>
          <w:rFonts w:eastAsiaTheme="minorEastAsia" w:cs="Times New Roman"/>
          <w:lang w:val="en-GB"/>
        </w:rPr>
        <w:t xml:space="preserve"> </w:t>
      </w:r>
      <w:r w:rsidR="00DB7ACB" w:rsidRPr="00D85472">
        <w:rPr>
          <w:rFonts w:eastAsiaTheme="minorEastAsia" w:cs="Times New Roman"/>
          <w:lang w:val="en-GB"/>
        </w:rPr>
        <w:t xml:space="preserve">– </w:t>
      </w:r>
      <w:r w:rsidRPr="00D85472">
        <w:rPr>
          <w:rFonts w:eastAsiaTheme="minorEastAsia" w:cs="Times New Roman"/>
          <w:lang w:val="en-GB"/>
        </w:rPr>
        <w:t xml:space="preserve">we get average energy savings of 36.28 GJ per year as the effect of each million </w:t>
      </w:r>
      <w:r w:rsidR="00DB7ACB" w:rsidRPr="00D85472">
        <w:rPr>
          <w:rFonts w:eastAsiaTheme="minorEastAsia" w:cs="Times New Roman"/>
          <w:lang w:val="en-GB"/>
        </w:rPr>
        <w:t xml:space="preserve">invested </w:t>
      </w:r>
      <w:r w:rsidRPr="00D85472">
        <w:rPr>
          <w:rFonts w:eastAsiaTheme="minorEastAsia" w:cs="Times New Roman"/>
          <w:lang w:val="en-GB"/>
        </w:rPr>
        <w:t xml:space="preserve">in the insulation project in </w:t>
      </w:r>
      <w:r w:rsidR="00DB7ACB" w:rsidRPr="00D85472">
        <w:rPr>
          <w:rFonts w:eastAsiaTheme="minorEastAsia" w:cs="Times New Roman"/>
          <w:lang w:val="en-GB"/>
        </w:rPr>
        <w:t xml:space="preserve">the </w:t>
      </w:r>
      <w:r w:rsidRPr="00D85472">
        <w:rPr>
          <w:rFonts w:eastAsiaTheme="minorEastAsia" w:cs="Times New Roman"/>
          <w:lang w:val="en-GB"/>
        </w:rPr>
        <w:t xml:space="preserve">multi-family apartment buildings. </w:t>
      </w:r>
    </w:p>
    <w:p w14:paraId="6ADDE8B5" w14:textId="77777777" w:rsidR="00D85472" w:rsidRPr="00D85472" w:rsidRDefault="00D85472" w:rsidP="00D85472">
      <w:pPr>
        <w:spacing w:after="0" w:line="240" w:lineRule="auto"/>
        <w:jc w:val="both"/>
        <w:rPr>
          <w:rFonts w:eastAsiaTheme="minorEastAsia" w:cs="Times New Roman"/>
          <w:lang w:val="en-GB"/>
        </w:rPr>
      </w:pPr>
    </w:p>
    <w:p w14:paraId="198E2624" w14:textId="6C94EF5C" w:rsidR="00084A42" w:rsidRPr="00D85472" w:rsidRDefault="00DB7ACB" w:rsidP="00D85472">
      <w:pPr>
        <w:spacing w:after="0" w:line="240" w:lineRule="auto"/>
        <w:jc w:val="both"/>
        <w:rPr>
          <w:rFonts w:cs="Times New Roman"/>
          <w:lang w:val="en-GB"/>
        </w:rPr>
      </w:pPr>
      <w:r w:rsidRPr="00D85472">
        <w:rPr>
          <w:rFonts w:eastAsiaTheme="minorEastAsia" w:cs="Times New Roman"/>
          <w:lang w:val="en-GB"/>
        </w:rPr>
        <w:t xml:space="preserve">As the </w:t>
      </w:r>
      <w:r w:rsidR="00084A42" w:rsidRPr="00D85472">
        <w:rPr>
          <w:rFonts w:eastAsiaTheme="minorEastAsia" w:cs="Times New Roman"/>
          <w:lang w:val="en-GB"/>
        </w:rPr>
        <w:t>average investment in the insulation project in our sample equal</w:t>
      </w:r>
      <w:r w:rsidRPr="00D85472">
        <w:rPr>
          <w:rFonts w:eastAsiaTheme="minorEastAsia" w:cs="Times New Roman"/>
          <w:lang w:val="en-GB"/>
        </w:rPr>
        <w:t>s</w:t>
      </w:r>
      <w:r w:rsidR="00084A42" w:rsidRPr="00D85472">
        <w:rPr>
          <w:rFonts w:eastAsiaTheme="minorEastAsia" w:cs="Times New Roman"/>
          <w:lang w:val="en-GB"/>
        </w:rPr>
        <w:t xml:space="preserve"> to </w:t>
      </w:r>
      <w:r w:rsidRPr="00D85472">
        <w:rPr>
          <w:rFonts w:eastAsiaTheme="minorEastAsia" w:cs="Times New Roman"/>
          <w:lang w:val="en-GB"/>
        </w:rPr>
        <w:t xml:space="preserve">about </w:t>
      </w:r>
      <w:r w:rsidR="00084A42" w:rsidRPr="00D85472">
        <w:rPr>
          <w:rFonts w:cs="Times New Roman"/>
          <w:lang w:val="en-GB"/>
        </w:rPr>
        <w:t>8</w:t>
      </w:r>
      <w:r w:rsidRPr="00D85472">
        <w:rPr>
          <w:rFonts w:cs="Times New Roman"/>
          <w:lang w:val="en-GB"/>
        </w:rPr>
        <w:t>.2 million</w:t>
      </w:r>
      <w:r w:rsidR="00084A42" w:rsidRPr="00D85472">
        <w:rPr>
          <w:rFonts w:cs="Times New Roman"/>
          <w:lang w:val="en-GB"/>
        </w:rPr>
        <w:t xml:space="preserve"> CZK</w:t>
      </w:r>
      <w:r w:rsidRPr="00D85472">
        <w:rPr>
          <w:rFonts w:cs="Times New Roman"/>
          <w:lang w:val="en-GB"/>
        </w:rPr>
        <w:t>, it</w:t>
      </w:r>
      <w:r w:rsidR="00084A42" w:rsidRPr="00D85472">
        <w:rPr>
          <w:rFonts w:cs="Times New Roman"/>
          <w:lang w:val="en-GB"/>
        </w:rPr>
        <w:t xml:space="preserve"> implies the average effect of about 297 GJ per year </w:t>
      </w:r>
      <w:r w:rsidRPr="00D85472">
        <w:rPr>
          <w:rFonts w:cs="Times New Roman"/>
          <w:lang w:val="en-GB"/>
        </w:rPr>
        <w:t xml:space="preserve">of energy saved </w:t>
      </w:r>
      <w:r w:rsidR="00084A42" w:rsidRPr="00D85472">
        <w:rPr>
          <w:rFonts w:cs="Times New Roman"/>
          <w:lang w:val="en-GB"/>
        </w:rPr>
        <w:t xml:space="preserve">per project. </w:t>
      </w:r>
      <w:r w:rsidRPr="00D85472">
        <w:rPr>
          <w:rFonts w:cs="Times New Roman"/>
          <w:lang w:val="en-GB"/>
        </w:rPr>
        <w:t>A</w:t>
      </w:r>
      <w:r w:rsidR="00084A42" w:rsidRPr="00D85472">
        <w:rPr>
          <w:rFonts w:cs="Times New Roman"/>
          <w:lang w:val="en-GB"/>
        </w:rPr>
        <w:t xml:space="preserve">ssuming the average </w:t>
      </w:r>
      <w:r w:rsidRPr="00D85472">
        <w:rPr>
          <w:rFonts w:cs="Times New Roman"/>
          <w:lang w:val="en-GB"/>
        </w:rPr>
        <w:t xml:space="preserve">price </w:t>
      </w:r>
      <w:r w:rsidR="00084A42" w:rsidRPr="00D85472">
        <w:rPr>
          <w:rFonts w:cs="Times New Roman"/>
          <w:lang w:val="en-GB"/>
        </w:rPr>
        <w:t xml:space="preserve">of heating </w:t>
      </w:r>
      <w:r w:rsidRPr="00D85472">
        <w:rPr>
          <w:rFonts w:cs="Times New Roman"/>
          <w:lang w:val="en-GB"/>
        </w:rPr>
        <w:t xml:space="preserve">at </w:t>
      </w:r>
      <w:r w:rsidR="00084A42" w:rsidRPr="00D85472">
        <w:rPr>
          <w:rFonts w:cs="Times New Roman"/>
          <w:lang w:val="en-GB"/>
        </w:rPr>
        <w:t xml:space="preserve">593.6 CZK per GJ, </w:t>
      </w:r>
      <w:r w:rsidRPr="00D85472">
        <w:rPr>
          <w:rFonts w:cs="Times New Roman"/>
          <w:lang w:val="en-GB"/>
        </w:rPr>
        <w:t xml:space="preserve">it also implies that each project on average leads to </w:t>
      </w:r>
      <w:r w:rsidR="00084A42" w:rsidRPr="00D85472">
        <w:rPr>
          <w:rFonts w:cs="Times New Roman"/>
          <w:lang w:val="en-GB"/>
        </w:rPr>
        <w:t>financial savings of about 176</w:t>
      </w:r>
      <w:r w:rsidRPr="00D85472">
        <w:rPr>
          <w:rFonts w:cs="Times New Roman"/>
          <w:lang w:val="en-GB"/>
        </w:rPr>
        <w:t>,</w:t>
      </w:r>
      <w:r w:rsidR="00084A42" w:rsidRPr="00D85472">
        <w:rPr>
          <w:rFonts w:cs="Times New Roman"/>
          <w:lang w:val="en-GB"/>
        </w:rPr>
        <w:t xml:space="preserve">299 CZK per year. </w:t>
      </w:r>
      <w:r w:rsidRPr="00D85472">
        <w:rPr>
          <w:rFonts w:cs="Times New Roman"/>
          <w:lang w:val="en-GB"/>
        </w:rPr>
        <w:t xml:space="preserve">This magnitude of financial savings can be also translated in </w:t>
      </w:r>
      <w:r w:rsidR="00084A42" w:rsidRPr="00D85472">
        <w:rPr>
          <w:rFonts w:cs="Times New Roman"/>
          <w:lang w:val="en-GB"/>
        </w:rPr>
        <w:t xml:space="preserve">around 46 years of payoff period. </w:t>
      </w:r>
    </w:p>
    <w:p w14:paraId="5E35694E" w14:textId="77777777" w:rsidR="00D85472" w:rsidRPr="00D85472" w:rsidRDefault="00D85472" w:rsidP="00D85472">
      <w:pPr>
        <w:spacing w:after="0" w:line="240" w:lineRule="auto"/>
        <w:jc w:val="both"/>
        <w:rPr>
          <w:rFonts w:cs="Times New Roman"/>
          <w:lang w:val="en-GB"/>
        </w:rPr>
      </w:pPr>
    </w:p>
    <w:p w14:paraId="5C39332D" w14:textId="6490441D" w:rsidR="003C13EA" w:rsidRPr="00D85472" w:rsidRDefault="00084A42" w:rsidP="00D85472">
      <w:pPr>
        <w:spacing w:after="0" w:line="240" w:lineRule="auto"/>
        <w:jc w:val="both"/>
        <w:rPr>
          <w:rFonts w:eastAsiaTheme="minorEastAsia" w:cs="Times New Roman"/>
          <w:lang w:val="en-GB"/>
        </w:rPr>
      </w:pPr>
      <w:r w:rsidRPr="00D85472">
        <w:rPr>
          <w:rFonts w:eastAsiaTheme="minorEastAsia" w:cs="Times New Roman"/>
          <w:lang w:val="en-GB"/>
        </w:rPr>
        <w:t xml:space="preserve">Some of </w:t>
      </w:r>
      <w:r w:rsidR="00DB7ACB" w:rsidRPr="00D85472">
        <w:rPr>
          <w:rFonts w:eastAsiaTheme="minorEastAsia" w:cs="Times New Roman"/>
          <w:lang w:val="en-GB"/>
        </w:rPr>
        <w:t xml:space="preserve">the multi-family buildings received a public subsidy and we hypothesized that </w:t>
      </w:r>
      <w:r w:rsidRPr="00D85472">
        <w:rPr>
          <w:rFonts w:eastAsiaTheme="minorEastAsia" w:cs="Times New Roman"/>
          <w:lang w:val="en-GB"/>
        </w:rPr>
        <w:t>th</w:t>
      </w:r>
      <w:r w:rsidR="00DB7ACB" w:rsidRPr="00D85472">
        <w:rPr>
          <w:rFonts w:eastAsiaTheme="minorEastAsia" w:cs="Times New Roman"/>
          <w:lang w:val="en-GB"/>
        </w:rPr>
        <w:t xml:space="preserve">e buildings that </w:t>
      </w:r>
      <w:r w:rsidRPr="00D85472">
        <w:rPr>
          <w:rFonts w:eastAsiaTheme="minorEastAsia" w:cs="Times New Roman"/>
          <w:lang w:val="en-GB"/>
        </w:rPr>
        <w:t>receive</w:t>
      </w:r>
      <w:r w:rsidR="00DB7ACB" w:rsidRPr="00D85472">
        <w:rPr>
          <w:rFonts w:eastAsiaTheme="minorEastAsia" w:cs="Times New Roman"/>
          <w:lang w:val="en-GB"/>
        </w:rPr>
        <w:t>d</w:t>
      </w:r>
      <w:r w:rsidRPr="00D85472">
        <w:rPr>
          <w:rFonts w:eastAsiaTheme="minorEastAsia" w:cs="Times New Roman"/>
          <w:lang w:val="en-GB"/>
        </w:rPr>
        <w:t xml:space="preserve"> such a subsidy c</w:t>
      </w:r>
      <w:r w:rsidR="00DB7ACB" w:rsidRPr="00D85472">
        <w:rPr>
          <w:rFonts w:eastAsiaTheme="minorEastAsia" w:cs="Times New Roman"/>
          <w:lang w:val="en-GB"/>
        </w:rPr>
        <w:t xml:space="preserve">ould </w:t>
      </w:r>
      <w:r w:rsidRPr="00D85472">
        <w:rPr>
          <w:rFonts w:eastAsiaTheme="minorEastAsia" w:cs="Times New Roman"/>
          <w:lang w:val="en-GB"/>
        </w:rPr>
        <w:t xml:space="preserve">invest more into more expensive but also more efficient energy saving </w:t>
      </w:r>
      <w:r w:rsidR="00DB7ACB" w:rsidRPr="00D85472">
        <w:rPr>
          <w:rFonts w:eastAsiaTheme="minorEastAsia" w:cs="Times New Roman"/>
          <w:lang w:val="en-GB"/>
        </w:rPr>
        <w:t>insulation-</w:t>
      </w:r>
      <w:r w:rsidRPr="00D85472">
        <w:rPr>
          <w:rFonts w:eastAsiaTheme="minorEastAsia" w:cs="Times New Roman"/>
          <w:lang w:val="en-GB"/>
        </w:rPr>
        <w:t>measures (</w:t>
      </w:r>
      <w:r w:rsidR="00DB7ACB" w:rsidRPr="00D85472">
        <w:rPr>
          <w:rFonts w:eastAsiaTheme="minorEastAsia" w:cs="Times New Roman"/>
          <w:lang w:val="en-GB"/>
        </w:rPr>
        <w:t xml:space="preserve">measured by energy </w:t>
      </w:r>
      <w:r w:rsidRPr="00D85472">
        <w:rPr>
          <w:rFonts w:eastAsiaTheme="minorEastAsia" w:cs="Times New Roman"/>
          <w:lang w:val="en-GB"/>
        </w:rPr>
        <w:t xml:space="preserve">savings per unit </w:t>
      </w:r>
      <w:r w:rsidR="00DB7ACB" w:rsidRPr="00D85472">
        <w:rPr>
          <w:rFonts w:eastAsiaTheme="minorEastAsia" w:cs="Times New Roman"/>
          <w:lang w:val="en-GB"/>
        </w:rPr>
        <w:t xml:space="preserve">invested </w:t>
      </w:r>
      <w:r w:rsidRPr="00D85472">
        <w:rPr>
          <w:rFonts w:eastAsiaTheme="minorEastAsia" w:cs="Times New Roman"/>
          <w:lang w:val="en-GB"/>
        </w:rPr>
        <w:t xml:space="preserve">costs). </w:t>
      </w:r>
      <w:r w:rsidR="00DB7ACB" w:rsidRPr="00D85472">
        <w:rPr>
          <w:rFonts w:eastAsiaTheme="minorEastAsia" w:cs="Times New Roman"/>
          <w:lang w:val="en-GB"/>
        </w:rPr>
        <w:t>The opposite may also happened; t</w:t>
      </w:r>
      <w:r w:rsidRPr="00D85472">
        <w:rPr>
          <w:rFonts w:eastAsiaTheme="minorEastAsia" w:cs="Times New Roman"/>
          <w:lang w:val="en-GB"/>
        </w:rPr>
        <w:t xml:space="preserve">he upward effect </w:t>
      </w:r>
      <w:r w:rsidR="00DB7ACB" w:rsidRPr="00D85472">
        <w:rPr>
          <w:rFonts w:eastAsiaTheme="minorEastAsia" w:cs="Times New Roman"/>
          <w:lang w:val="en-GB"/>
        </w:rPr>
        <w:t xml:space="preserve">of subsidy </w:t>
      </w:r>
      <w:r w:rsidRPr="00D85472">
        <w:rPr>
          <w:rFonts w:eastAsiaTheme="minorEastAsia" w:cs="Times New Roman"/>
          <w:lang w:val="en-GB"/>
        </w:rPr>
        <w:t xml:space="preserve">may be a result of inefficient decision on investment as a part of </w:t>
      </w:r>
      <w:r w:rsidR="00980BD9" w:rsidRPr="00D85472">
        <w:rPr>
          <w:rFonts w:eastAsiaTheme="minorEastAsia" w:cs="Times New Roman"/>
          <w:lang w:val="en-GB"/>
        </w:rPr>
        <w:t xml:space="preserve">the </w:t>
      </w:r>
      <w:r w:rsidRPr="00D85472">
        <w:rPr>
          <w:rFonts w:eastAsiaTheme="minorEastAsia" w:cs="Times New Roman"/>
          <w:lang w:val="en-GB"/>
        </w:rPr>
        <w:t xml:space="preserve">investment costs </w:t>
      </w:r>
      <w:r w:rsidR="00980BD9" w:rsidRPr="00D85472">
        <w:rPr>
          <w:rFonts w:eastAsiaTheme="minorEastAsia" w:cs="Times New Roman"/>
          <w:lang w:val="en-GB"/>
        </w:rPr>
        <w:t>a</w:t>
      </w:r>
      <w:r w:rsidRPr="00D85472">
        <w:rPr>
          <w:rFonts w:eastAsiaTheme="minorEastAsia" w:cs="Times New Roman"/>
          <w:lang w:val="en-GB"/>
        </w:rPr>
        <w:t xml:space="preserve">re subsidized by government grant. We use </w:t>
      </w:r>
      <w:r w:rsidR="003C13EA" w:rsidRPr="00D85472">
        <w:rPr>
          <w:rFonts w:eastAsiaTheme="minorEastAsia" w:cs="Times New Roman"/>
          <w:lang w:val="en-GB"/>
        </w:rPr>
        <w:t xml:space="preserve">several models </w:t>
      </w:r>
      <w:r w:rsidRPr="00D85472">
        <w:rPr>
          <w:rFonts w:eastAsiaTheme="minorEastAsia" w:cs="Times New Roman"/>
          <w:lang w:val="en-GB"/>
        </w:rPr>
        <w:t>to examine this effect</w:t>
      </w:r>
      <w:r w:rsidR="003C13EA" w:rsidRPr="00D85472">
        <w:rPr>
          <w:rFonts w:eastAsiaTheme="minorEastAsia" w:cs="Times New Roman"/>
          <w:lang w:val="en-GB"/>
        </w:rPr>
        <w:t>. Specifically, we analyse the effect of providing subsidy by introducing a dummy (model 5</w:t>
      </w:r>
      <w:r w:rsidR="00D85472" w:rsidRPr="00D85472">
        <w:rPr>
          <w:rFonts w:eastAsiaTheme="minorEastAsia" w:cs="Times New Roman"/>
          <w:lang w:val="en-GB"/>
        </w:rPr>
        <w:t>b</w:t>
      </w:r>
      <w:r w:rsidR="003C13EA" w:rsidRPr="00D85472">
        <w:rPr>
          <w:rFonts w:eastAsiaTheme="minorEastAsia" w:cs="Times New Roman"/>
          <w:lang w:val="en-GB"/>
        </w:rPr>
        <w:t xml:space="preserve">) or money amount in millions CZK (model </w:t>
      </w:r>
      <w:r w:rsidR="00D85472" w:rsidRPr="00D85472">
        <w:rPr>
          <w:rFonts w:eastAsiaTheme="minorEastAsia" w:cs="Times New Roman"/>
          <w:lang w:val="en-GB"/>
        </w:rPr>
        <w:t>5c</w:t>
      </w:r>
      <w:r w:rsidR="003C13EA" w:rsidRPr="00D85472">
        <w:rPr>
          <w:rFonts w:eastAsiaTheme="minorEastAsia" w:cs="Times New Roman"/>
          <w:lang w:val="en-GB"/>
        </w:rPr>
        <w:t xml:space="preserve">), controlling for possibility to use soft loans (by subsidised interest rates, dummy </w:t>
      </w:r>
      <w:proofErr w:type="spellStart"/>
      <w:r w:rsidR="003C13EA" w:rsidRPr="00D85472">
        <w:rPr>
          <w:rFonts w:eastAsiaTheme="minorEastAsia" w:cs="Times New Roman"/>
          <w:lang w:val="en-GB"/>
        </w:rPr>
        <w:t>SubsidyIR</w:t>
      </w:r>
      <w:proofErr w:type="spellEnd"/>
      <w:r w:rsidR="003C13EA" w:rsidRPr="00D85472">
        <w:rPr>
          <w:rFonts w:eastAsiaTheme="minorEastAsia" w:cs="Times New Roman"/>
          <w:lang w:val="en-GB"/>
        </w:rPr>
        <w:t xml:space="preserve"> in model </w:t>
      </w:r>
      <w:r w:rsidR="00D85472" w:rsidRPr="00D85472">
        <w:rPr>
          <w:rFonts w:eastAsiaTheme="minorEastAsia" w:cs="Times New Roman"/>
          <w:lang w:val="en-GB"/>
        </w:rPr>
        <w:t>5d</w:t>
      </w:r>
      <w:r w:rsidR="003C13EA" w:rsidRPr="00D85472">
        <w:rPr>
          <w:rFonts w:eastAsiaTheme="minorEastAsia" w:cs="Times New Roman"/>
          <w:lang w:val="en-GB"/>
        </w:rPr>
        <w:t xml:space="preserve">), or for the proportion of subsidy on total investment (=0 if no subsidy provided, model </w:t>
      </w:r>
      <w:r w:rsidR="00D85472" w:rsidRPr="00D85472">
        <w:rPr>
          <w:rFonts w:eastAsiaTheme="minorEastAsia" w:cs="Times New Roman"/>
          <w:lang w:val="en-GB"/>
        </w:rPr>
        <w:t>6</w:t>
      </w:r>
      <w:r w:rsidR="003C13EA" w:rsidRPr="00D85472">
        <w:rPr>
          <w:rFonts w:eastAsiaTheme="minorEastAsia" w:cs="Times New Roman"/>
          <w:lang w:val="en-GB"/>
        </w:rPr>
        <w:t xml:space="preserve">). </w:t>
      </w:r>
    </w:p>
    <w:p w14:paraId="4215B16C" w14:textId="77777777" w:rsidR="00D85472" w:rsidRPr="00D85472" w:rsidRDefault="00D85472" w:rsidP="00D85472">
      <w:pPr>
        <w:spacing w:after="0" w:line="240" w:lineRule="auto"/>
        <w:jc w:val="both"/>
        <w:rPr>
          <w:rFonts w:eastAsiaTheme="minorEastAsia" w:cs="Times New Roman"/>
          <w:lang w:val="en-GB"/>
        </w:rPr>
      </w:pPr>
    </w:p>
    <w:p w14:paraId="07F6225D" w14:textId="276FF896" w:rsidR="00084A42" w:rsidRPr="00D85472" w:rsidRDefault="003C13EA" w:rsidP="00D85472">
      <w:pPr>
        <w:spacing w:after="0" w:line="240" w:lineRule="auto"/>
        <w:jc w:val="both"/>
        <w:rPr>
          <w:rFonts w:eastAsiaTheme="minorEastAsia" w:cs="Times New Roman"/>
          <w:lang w:val="en-GB"/>
        </w:rPr>
      </w:pPr>
      <w:r w:rsidRPr="00D85472">
        <w:rPr>
          <w:rFonts w:eastAsiaTheme="minorEastAsia" w:cs="Times New Roman"/>
          <w:lang w:val="en-GB"/>
        </w:rPr>
        <w:t>In fact, w</w:t>
      </w:r>
      <w:r w:rsidR="00980BD9" w:rsidRPr="00D85472">
        <w:rPr>
          <w:rFonts w:eastAsiaTheme="minorEastAsia" w:cs="Times New Roman"/>
          <w:lang w:val="en-GB"/>
        </w:rPr>
        <w:t>e find very str</w:t>
      </w:r>
      <w:r w:rsidRPr="00D85472">
        <w:rPr>
          <w:rFonts w:eastAsiaTheme="minorEastAsia" w:cs="Times New Roman"/>
          <w:lang w:val="en-GB"/>
        </w:rPr>
        <w:t>o</w:t>
      </w:r>
      <w:r w:rsidR="00980BD9" w:rsidRPr="00D85472">
        <w:rPr>
          <w:rFonts w:eastAsiaTheme="minorEastAsia" w:cs="Times New Roman"/>
          <w:lang w:val="en-GB"/>
        </w:rPr>
        <w:t>ng effect of subsidy on energy savings</w:t>
      </w:r>
      <w:r w:rsidRPr="00D85472">
        <w:rPr>
          <w:rFonts w:eastAsiaTheme="minorEastAsia" w:cs="Times New Roman"/>
          <w:lang w:val="en-GB"/>
        </w:rPr>
        <w:t xml:space="preserve"> (model 5</w:t>
      </w:r>
      <w:r w:rsidR="00D85472" w:rsidRPr="00D85472">
        <w:rPr>
          <w:rFonts w:eastAsiaTheme="minorEastAsia" w:cs="Times New Roman"/>
          <w:lang w:val="en-GB"/>
        </w:rPr>
        <w:t>b</w:t>
      </w:r>
      <w:r w:rsidRPr="00D85472">
        <w:rPr>
          <w:rFonts w:eastAsiaTheme="minorEastAsia" w:cs="Times New Roman"/>
          <w:lang w:val="en-GB"/>
        </w:rPr>
        <w:t>)</w:t>
      </w:r>
      <w:r w:rsidR="00980BD9" w:rsidRPr="00D85472">
        <w:rPr>
          <w:rFonts w:eastAsiaTheme="minorEastAsia" w:cs="Times New Roman"/>
          <w:lang w:val="en-GB"/>
        </w:rPr>
        <w:t xml:space="preserve">. Investment in a thermal insulation resulted in savings of about </w:t>
      </w:r>
      <w:r w:rsidR="00084A42" w:rsidRPr="00D85472">
        <w:rPr>
          <w:rFonts w:eastAsiaTheme="minorEastAsia" w:cs="Times New Roman"/>
          <w:lang w:val="en-GB"/>
        </w:rPr>
        <w:t>0.0</w:t>
      </w:r>
      <w:r w:rsidR="006D0153" w:rsidRPr="00D85472">
        <w:rPr>
          <w:rFonts w:eastAsiaTheme="minorEastAsia" w:cs="Times New Roman"/>
          <w:lang w:val="en-GB"/>
        </w:rPr>
        <w:t>102</w:t>
      </w:r>
      <w:r w:rsidR="00084A42" w:rsidRPr="00D85472">
        <w:rPr>
          <w:rFonts w:eastAsiaTheme="minorEastAsia" w:cs="Times New Roman"/>
          <w:lang w:val="en-GB"/>
        </w:rPr>
        <w:t xml:space="preserve"> </w:t>
      </w:r>
      <w:r w:rsidR="00084A42" w:rsidRPr="00D85472">
        <w:rPr>
          <w:rFonts w:cs="Times New Roman"/>
          <w:lang w:val="en-GB"/>
        </w:rPr>
        <w:t>GJ/m</w:t>
      </w:r>
      <w:r w:rsidR="00084A42" w:rsidRPr="00D85472">
        <w:rPr>
          <w:rFonts w:cs="Times New Roman"/>
          <w:vertAlign w:val="superscript"/>
          <w:lang w:val="en-GB"/>
        </w:rPr>
        <w:t>2</w:t>
      </w:r>
      <w:r w:rsidR="00084A42" w:rsidRPr="00D85472">
        <w:rPr>
          <w:rFonts w:eastAsiaTheme="minorEastAsia" w:cs="Times New Roman"/>
          <w:lang w:val="en-GB"/>
        </w:rPr>
        <w:t xml:space="preserve"> per year</w:t>
      </w:r>
      <w:r w:rsidR="00980BD9" w:rsidRPr="00D85472">
        <w:rPr>
          <w:rFonts w:eastAsiaTheme="minorEastAsia" w:cs="Times New Roman"/>
          <w:lang w:val="en-GB"/>
        </w:rPr>
        <w:t xml:space="preserve"> and per million of CZK, whereas each </w:t>
      </w:r>
      <w:proofErr w:type="spellStart"/>
      <w:r w:rsidR="00980BD9" w:rsidRPr="00D85472">
        <w:rPr>
          <w:rFonts w:eastAsiaTheme="minorEastAsia" w:cs="Times New Roman"/>
          <w:lang w:val="en-GB"/>
        </w:rPr>
        <w:t>million</w:t>
      </w:r>
      <w:proofErr w:type="spellEnd"/>
      <w:r w:rsidR="00980BD9" w:rsidRPr="00D85472">
        <w:rPr>
          <w:rFonts w:eastAsiaTheme="minorEastAsia" w:cs="Times New Roman"/>
          <w:lang w:val="en-GB"/>
        </w:rPr>
        <w:t xml:space="preserve"> of CZK of subsidy contributed additionally by </w:t>
      </w:r>
      <w:r w:rsidR="00084A42" w:rsidRPr="00D85472">
        <w:rPr>
          <w:rFonts w:eastAsiaTheme="minorEastAsia" w:cs="Times New Roman"/>
          <w:lang w:val="en-GB"/>
        </w:rPr>
        <w:t xml:space="preserve"> 0.0</w:t>
      </w:r>
      <w:r w:rsidR="006D0153" w:rsidRPr="00D85472">
        <w:rPr>
          <w:rFonts w:eastAsiaTheme="minorEastAsia" w:cs="Times New Roman"/>
          <w:lang w:val="en-GB"/>
        </w:rPr>
        <w:t xml:space="preserve">016 </w:t>
      </w:r>
      <w:r w:rsidR="00084A42" w:rsidRPr="00D85472">
        <w:rPr>
          <w:rFonts w:cs="Times New Roman"/>
          <w:lang w:val="en-GB"/>
        </w:rPr>
        <w:t>GJ/m</w:t>
      </w:r>
      <w:r w:rsidR="00084A42" w:rsidRPr="00D85472">
        <w:rPr>
          <w:rFonts w:cs="Times New Roman"/>
          <w:vertAlign w:val="superscript"/>
          <w:lang w:val="en-GB"/>
        </w:rPr>
        <w:t>2</w:t>
      </w:r>
      <w:r w:rsidR="00084A42" w:rsidRPr="00D85472">
        <w:rPr>
          <w:rFonts w:eastAsiaTheme="minorEastAsia" w:cs="Times New Roman"/>
          <w:lang w:val="en-GB"/>
        </w:rPr>
        <w:t xml:space="preserve"> per year</w:t>
      </w:r>
      <w:r w:rsidR="00980BD9" w:rsidRPr="00D85472">
        <w:rPr>
          <w:rFonts w:eastAsiaTheme="minorEastAsia" w:cs="Times New Roman"/>
          <w:lang w:val="en-GB"/>
        </w:rPr>
        <w:t xml:space="preserve">, resulting in overall effect of subsidized project of about </w:t>
      </w:r>
      <w:r w:rsidR="00084A42" w:rsidRPr="00D85472">
        <w:rPr>
          <w:rFonts w:eastAsiaTheme="minorEastAsia" w:cs="Times New Roman"/>
          <w:lang w:val="en-GB"/>
        </w:rPr>
        <w:t>0.011</w:t>
      </w:r>
      <w:r w:rsidR="006D0153" w:rsidRPr="00D85472">
        <w:rPr>
          <w:rFonts w:eastAsiaTheme="minorEastAsia" w:cs="Times New Roman"/>
          <w:lang w:val="en-GB"/>
        </w:rPr>
        <w:t>8</w:t>
      </w:r>
      <w:r w:rsidR="00084A42" w:rsidRPr="00D85472">
        <w:rPr>
          <w:rFonts w:eastAsiaTheme="minorEastAsia" w:cs="Times New Roman"/>
          <w:lang w:val="en-GB"/>
        </w:rPr>
        <w:t xml:space="preserve"> GJ/m</w:t>
      </w:r>
      <w:r w:rsidR="00084A42" w:rsidRPr="00D85472">
        <w:rPr>
          <w:rFonts w:eastAsiaTheme="minorEastAsia" w:cs="Times New Roman"/>
          <w:vertAlign w:val="superscript"/>
          <w:lang w:val="en-GB"/>
        </w:rPr>
        <w:t>2</w:t>
      </w:r>
      <w:r w:rsidR="00084A42" w:rsidRPr="00D85472">
        <w:rPr>
          <w:rFonts w:eastAsiaTheme="minorEastAsia" w:cs="Times New Roman"/>
          <w:lang w:val="en-GB"/>
        </w:rPr>
        <w:t xml:space="preserve"> per year</w:t>
      </w:r>
      <w:r w:rsidR="00980BD9" w:rsidRPr="00D85472">
        <w:rPr>
          <w:rFonts w:eastAsiaTheme="minorEastAsia" w:cs="Times New Roman"/>
          <w:lang w:val="en-GB"/>
        </w:rPr>
        <w:t xml:space="preserve"> and per million CZK</w:t>
      </w:r>
      <w:r w:rsidR="00D85472" w:rsidRPr="00D85472">
        <w:rPr>
          <w:rFonts w:eastAsiaTheme="minorEastAsia" w:cs="Times New Roman"/>
          <w:lang w:val="en-GB"/>
        </w:rPr>
        <w:t xml:space="preserve"> (model 5c</w:t>
      </w:r>
      <w:r w:rsidR="006D0153" w:rsidRPr="00D85472">
        <w:rPr>
          <w:rFonts w:eastAsiaTheme="minorEastAsia" w:cs="Times New Roman"/>
          <w:lang w:val="en-GB"/>
        </w:rPr>
        <w:t>)</w:t>
      </w:r>
      <w:r w:rsidR="00084A42" w:rsidRPr="00D85472">
        <w:rPr>
          <w:rFonts w:eastAsiaTheme="minorEastAsia" w:cs="Times New Roman"/>
          <w:lang w:val="en-GB"/>
        </w:rPr>
        <w:t>.</w:t>
      </w:r>
      <w:r w:rsidR="006D0153" w:rsidRPr="00D85472">
        <w:rPr>
          <w:rFonts w:eastAsiaTheme="minorEastAsia" w:cs="Times New Roman"/>
          <w:lang w:val="en-GB"/>
        </w:rPr>
        <w:t xml:space="preserve"> The effect of subsidy amount disappears if we also control for subsidizing the loans through lower interest rates, such as provided by Panel or New Panel program (model </w:t>
      </w:r>
      <w:r w:rsidR="00D85472" w:rsidRPr="00D85472">
        <w:rPr>
          <w:rFonts w:eastAsiaTheme="minorEastAsia" w:cs="Times New Roman"/>
          <w:lang w:val="en-GB"/>
        </w:rPr>
        <w:t>5d</w:t>
      </w:r>
      <w:r w:rsidR="006D0153" w:rsidRPr="00D85472">
        <w:rPr>
          <w:rFonts w:eastAsiaTheme="minorEastAsia" w:cs="Times New Roman"/>
          <w:lang w:val="en-GB"/>
        </w:rPr>
        <w:t xml:space="preserve">). However, it turns now the effect of soft loans on energy consumption </w:t>
      </w:r>
      <w:r w:rsidR="00084A42" w:rsidRPr="00D85472">
        <w:rPr>
          <w:rFonts w:eastAsiaTheme="minorEastAsia" w:cs="Times New Roman"/>
          <w:lang w:val="en-GB"/>
        </w:rPr>
        <w:t>is significant and negative</w:t>
      </w:r>
      <w:r w:rsidR="006D0153" w:rsidRPr="00D85472">
        <w:rPr>
          <w:rFonts w:eastAsiaTheme="minorEastAsia" w:cs="Times New Roman"/>
          <w:lang w:val="en-GB"/>
        </w:rPr>
        <w:t xml:space="preserve">, </w:t>
      </w:r>
      <w:r w:rsidR="00084A42" w:rsidRPr="00D85472">
        <w:rPr>
          <w:rFonts w:eastAsiaTheme="minorEastAsia" w:cs="Times New Roman"/>
          <w:lang w:val="en-GB"/>
        </w:rPr>
        <w:t>approximately 0.089</w:t>
      </w:r>
      <w:r w:rsidR="00084A42" w:rsidRPr="00D85472">
        <w:rPr>
          <w:rFonts w:cs="Times New Roman"/>
          <w:lang w:val="en-GB"/>
        </w:rPr>
        <w:t xml:space="preserve"> GJ/m</w:t>
      </w:r>
      <w:r w:rsidR="00084A42" w:rsidRPr="00D85472">
        <w:rPr>
          <w:rFonts w:cs="Times New Roman"/>
          <w:vertAlign w:val="superscript"/>
          <w:lang w:val="en-GB"/>
        </w:rPr>
        <w:t>2</w:t>
      </w:r>
      <w:r w:rsidR="00084A42" w:rsidRPr="00D85472">
        <w:rPr>
          <w:rFonts w:eastAsiaTheme="minorEastAsia" w:cs="Times New Roman"/>
          <w:lang w:val="en-GB"/>
        </w:rPr>
        <w:t xml:space="preserve"> per year. </w:t>
      </w:r>
      <w:r w:rsidR="006D0153" w:rsidRPr="00D85472">
        <w:rPr>
          <w:rFonts w:eastAsiaTheme="minorEastAsia" w:cs="Times New Roman"/>
          <w:lang w:val="en-GB"/>
        </w:rPr>
        <w:t xml:space="preserve">It implies that </w:t>
      </w:r>
      <w:r w:rsidR="00084A42" w:rsidRPr="00D85472">
        <w:rPr>
          <w:rFonts w:eastAsiaTheme="minorEastAsia" w:cs="Times New Roman"/>
          <w:lang w:val="en-GB"/>
        </w:rPr>
        <w:t xml:space="preserve">the government programmes </w:t>
      </w:r>
      <w:r w:rsidR="006D0153" w:rsidRPr="00D85472">
        <w:rPr>
          <w:rFonts w:eastAsiaTheme="minorEastAsia" w:cs="Times New Roman"/>
          <w:lang w:val="en-GB"/>
        </w:rPr>
        <w:t xml:space="preserve">provided a support through lower </w:t>
      </w:r>
      <w:r w:rsidR="00084A42" w:rsidRPr="00D85472">
        <w:rPr>
          <w:rFonts w:eastAsiaTheme="minorEastAsia" w:cs="Times New Roman"/>
          <w:lang w:val="en-GB"/>
        </w:rPr>
        <w:t xml:space="preserve">interest rates are more </w:t>
      </w:r>
      <w:r w:rsidR="006D0153" w:rsidRPr="00D85472">
        <w:rPr>
          <w:rFonts w:eastAsiaTheme="minorEastAsia" w:cs="Times New Roman"/>
          <w:lang w:val="en-GB"/>
        </w:rPr>
        <w:t xml:space="preserve">effective to reduce energy </w:t>
      </w:r>
      <w:r w:rsidR="00084A42" w:rsidRPr="00D85472">
        <w:rPr>
          <w:rFonts w:eastAsiaTheme="minorEastAsia" w:cs="Times New Roman"/>
          <w:lang w:val="en-GB"/>
        </w:rPr>
        <w:t xml:space="preserve">than other </w:t>
      </w:r>
      <w:r w:rsidR="006D0153" w:rsidRPr="00D85472">
        <w:rPr>
          <w:rFonts w:eastAsiaTheme="minorEastAsia" w:cs="Times New Roman"/>
          <w:lang w:val="en-GB"/>
        </w:rPr>
        <w:t>public programs to reduce energy</w:t>
      </w:r>
      <w:r w:rsidR="00084A42" w:rsidRPr="00D85472">
        <w:rPr>
          <w:rFonts w:eastAsiaTheme="minorEastAsia" w:cs="Times New Roman"/>
          <w:lang w:val="en-GB"/>
        </w:rPr>
        <w:t>. When observing this effect we have to keep in mind the reference to literature review that omitting the free-riding can lead to magnified effect of subsidy on energy savings. There will still be people who would invest into the thermal insulation even without subsidy.</w:t>
      </w:r>
    </w:p>
    <w:p w14:paraId="55445F24" w14:textId="77777777" w:rsidR="00D85472" w:rsidRPr="00D85472" w:rsidRDefault="00D85472" w:rsidP="00D85472">
      <w:pPr>
        <w:spacing w:after="0" w:line="240" w:lineRule="auto"/>
        <w:jc w:val="both"/>
        <w:rPr>
          <w:rFonts w:eastAsiaTheme="minorEastAsia" w:cs="Times New Roman"/>
          <w:lang w:val="en-GB"/>
        </w:rPr>
      </w:pPr>
    </w:p>
    <w:p w14:paraId="028825A8" w14:textId="0F874440" w:rsidR="00091EDC" w:rsidRPr="00D85472" w:rsidRDefault="006D0153" w:rsidP="00D85472">
      <w:pPr>
        <w:spacing w:after="0" w:line="240" w:lineRule="auto"/>
        <w:jc w:val="both"/>
        <w:rPr>
          <w:rFonts w:eastAsiaTheme="minorEastAsia"/>
          <w:lang w:val="en-GB"/>
        </w:rPr>
      </w:pPr>
      <w:r w:rsidRPr="00D85472">
        <w:rPr>
          <w:rFonts w:eastAsiaTheme="minorEastAsia" w:cs="Times New Roman"/>
          <w:lang w:val="en-GB"/>
        </w:rPr>
        <w:t>Last model (</w:t>
      </w:r>
      <w:r w:rsidR="00D85472" w:rsidRPr="00D85472">
        <w:rPr>
          <w:rFonts w:eastAsiaTheme="minorEastAsia" w:cs="Times New Roman"/>
          <w:lang w:val="en-GB"/>
        </w:rPr>
        <w:t>6</w:t>
      </w:r>
      <w:r w:rsidRPr="00D85472">
        <w:rPr>
          <w:rFonts w:eastAsiaTheme="minorEastAsia" w:cs="Times New Roman"/>
          <w:lang w:val="en-GB"/>
        </w:rPr>
        <w:t xml:space="preserve">) analyse the effect of each percentage </w:t>
      </w:r>
      <w:r w:rsidR="009263CE" w:rsidRPr="00D85472">
        <w:rPr>
          <w:rFonts w:eastAsiaTheme="minorEastAsia" w:cs="Times New Roman"/>
          <w:lang w:val="en-GB"/>
        </w:rPr>
        <w:t>of subsidy on total investment costs</w:t>
      </w:r>
      <w:r w:rsidRPr="00D85472">
        <w:rPr>
          <w:rFonts w:eastAsiaTheme="minorEastAsia" w:cs="Times New Roman"/>
          <w:lang w:val="en-GB"/>
        </w:rPr>
        <w:t xml:space="preserve">. We suppose the higher proportion of subsidized investment, the lower energy savings </w:t>
      </w:r>
      <w:r w:rsidR="009263CE" w:rsidRPr="00D85472">
        <w:rPr>
          <w:rFonts w:eastAsiaTheme="minorEastAsia" w:cs="Times New Roman"/>
          <w:lang w:val="en-GB"/>
        </w:rPr>
        <w:t xml:space="preserve">will be </w:t>
      </w:r>
      <w:r w:rsidRPr="00D85472">
        <w:rPr>
          <w:rFonts w:eastAsiaTheme="minorEastAsia" w:cs="Times New Roman"/>
          <w:lang w:val="en-GB"/>
        </w:rPr>
        <w:t xml:space="preserve">as the lower subsidy may lead to stronger engagement in the </w:t>
      </w:r>
      <w:r w:rsidR="00D85472" w:rsidRPr="00D85472">
        <w:rPr>
          <w:rFonts w:eastAsiaTheme="minorEastAsia" w:cs="Times New Roman"/>
          <w:lang w:val="en-GB"/>
        </w:rPr>
        <w:t>insulation</w:t>
      </w:r>
      <w:bookmarkStart w:id="1" w:name="_Toc449186576"/>
      <w:r w:rsidRPr="00D85472">
        <w:rPr>
          <w:rFonts w:eastAsiaTheme="minorEastAsia" w:cs="Times New Roman"/>
          <w:lang w:val="en-GB"/>
        </w:rPr>
        <w:t>.</w:t>
      </w:r>
      <w:r w:rsidRPr="00D85472">
        <w:rPr>
          <w:rFonts w:eastAsiaTheme="minorEastAsia"/>
          <w:lang w:val="en-GB"/>
        </w:rPr>
        <w:t xml:space="preserve"> </w:t>
      </w:r>
      <w:bookmarkEnd w:id="1"/>
      <w:r w:rsidR="00D85472" w:rsidRPr="00D85472">
        <w:rPr>
          <w:rFonts w:eastAsiaTheme="minorEastAsia"/>
          <w:lang w:val="en-GB"/>
        </w:rPr>
        <w:t xml:space="preserve">We find the </w:t>
      </w:r>
      <w:r w:rsidR="009263CE" w:rsidRPr="00D85472">
        <w:rPr>
          <w:rFonts w:eastAsiaTheme="minorEastAsia" w:cs="Times New Roman"/>
          <w:lang w:val="en-GB"/>
        </w:rPr>
        <w:t xml:space="preserve">coefficient </w:t>
      </w:r>
      <w:r w:rsidR="00D85472" w:rsidRPr="00D85472">
        <w:rPr>
          <w:rFonts w:eastAsiaTheme="minorEastAsia" w:cs="Times New Roman"/>
          <w:lang w:val="en-GB"/>
        </w:rPr>
        <w:t xml:space="preserve">on </w:t>
      </w:r>
      <w:r w:rsidRPr="00D85472">
        <w:rPr>
          <w:rFonts w:eastAsiaTheme="minorEastAsia" w:cs="Times New Roman"/>
          <w:i/>
          <w:lang w:val="en-GB"/>
        </w:rPr>
        <w:t>Share1</w:t>
      </w:r>
      <w:r w:rsidRPr="00D85472">
        <w:rPr>
          <w:rFonts w:eastAsiaTheme="minorEastAsia" w:cs="Times New Roman"/>
          <w:lang w:val="en-GB"/>
        </w:rPr>
        <w:t xml:space="preserve"> is positive </w:t>
      </w:r>
      <w:r w:rsidR="00D85472" w:rsidRPr="00D85472">
        <w:rPr>
          <w:rFonts w:eastAsiaTheme="minorEastAsia" w:cs="Times New Roman"/>
          <w:lang w:val="en-GB"/>
        </w:rPr>
        <w:t xml:space="preserve">and significant, yielding </w:t>
      </w:r>
      <w:r w:rsidR="009263CE" w:rsidRPr="00D85472">
        <w:rPr>
          <w:rFonts w:eastAsiaTheme="minorEastAsia" w:cs="Times New Roman"/>
          <w:lang w:val="en-GB"/>
        </w:rPr>
        <w:t xml:space="preserve">that each percentage of support on investment reduces the effect of insulation on energy savings by </w:t>
      </w:r>
      <w:r w:rsidRPr="00D85472">
        <w:rPr>
          <w:rFonts w:eastAsiaTheme="minorEastAsia" w:cs="Times New Roman"/>
          <w:lang w:val="en-GB"/>
        </w:rPr>
        <w:t>0.0041 GJ/m</w:t>
      </w:r>
      <w:r w:rsidRPr="00D85472">
        <w:rPr>
          <w:rFonts w:eastAsiaTheme="minorEastAsia" w:cs="Times New Roman"/>
          <w:vertAlign w:val="superscript"/>
          <w:lang w:val="en-GB"/>
        </w:rPr>
        <w:t>2</w:t>
      </w:r>
      <w:r w:rsidRPr="00D85472">
        <w:rPr>
          <w:rFonts w:eastAsiaTheme="minorEastAsia" w:cs="Times New Roman"/>
          <w:lang w:val="en-GB"/>
        </w:rPr>
        <w:t xml:space="preserve"> per year </w:t>
      </w:r>
      <w:r w:rsidR="009263CE" w:rsidRPr="00D85472">
        <w:rPr>
          <w:rFonts w:eastAsiaTheme="minorEastAsia" w:cs="Times New Roman"/>
          <w:lang w:val="en-GB"/>
        </w:rPr>
        <w:t>(</w:t>
      </w:r>
      <w:r w:rsidRPr="00D85472">
        <w:rPr>
          <w:rFonts w:eastAsiaTheme="minorEastAsia" w:cs="Times New Roman"/>
          <w:lang w:val="en-GB"/>
        </w:rPr>
        <w:t xml:space="preserve">energy consumption </w:t>
      </w:r>
      <w:r w:rsidR="009263CE" w:rsidRPr="00D85472">
        <w:rPr>
          <w:rFonts w:eastAsiaTheme="minorEastAsia" w:cs="Times New Roman"/>
          <w:lang w:val="en-GB"/>
        </w:rPr>
        <w:t>is hence increased)</w:t>
      </w:r>
      <w:r w:rsidRPr="00D85472">
        <w:rPr>
          <w:rFonts w:eastAsiaTheme="minorEastAsia" w:cs="Times New Roman"/>
          <w:lang w:val="en-GB"/>
        </w:rPr>
        <w:t xml:space="preserve">. </w:t>
      </w:r>
      <w:r w:rsidR="009263CE" w:rsidRPr="00D85472">
        <w:rPr>
          <w:rFonts w:eastAsiaTheme="minorEastAsia" w:cs="Times New Roman"/>
          <w:lang w:val="en-GB"/>
        </w:rPr>
        <w:t>However, t</w:t>
      </w:r>
      <w:r w:rsidRPr="00D85472">
        <w:rPr>
          <w:rFonts w:eastAsiaTheme="minorEastAsia" w:cs="Times New Roman"/>
          <w:lang w:val="en-GB"/>
        </w:rPr>
        <w:t>h</w:t>
      </w:r>
      <w:r w:rsidR="009263CE" w:rsidRPr="00D85472">
        <w:rPr>
          <w:rFonts w:eastAsiaTheme="minorEastAsia" w:cs="Times New Roman"/>
          <w:lang w:val="en-GB"/>
        </w:rPr>
        <w:t>is</w:t>
      </w:r>
      <w:r w:rsidRPr="00D85472">
        <w:rPr>
          <w:rFonts w:eastAsiaTheme="minorEastAsia" w:cs="Times New Roman"/>
          <w:lang w:val="en-GB"/>
        </w:rPr>
        <w:t xml:space="preserve"> coefficient </w:t>
      </w:r>
      <w:r w:rsidR="009263CE" w:rsidRPr="00D85472">
        <w:rPr>
          <w:rFonts w:eastAsiaTheme="minorEastAsia" w:cs="Times New Roman"/>
          <w:lang w:val="en-GB"/>
        </w:rPr>
        <w:t>is not significant at any conventional level.</w:t>
      </w:r>
    </w:p>
    <w:p w14:paraId="5FC4D78D" w14:textId="77777777" w:rsidR="00084A42" w:rsidRPr="00D85472" w:rsidRDefault="00084A42" w:rsidP="00D85472">
      <w:pPr>
        <w:spacing w:after="0" w:line="240" w:lineRule="auto"/>
        <w:rPr>
          <w:rFonts w:cs="Times New Roman"/>
          <w:lang w:val="en-GB"/>
        </w:rPr>
      </w:pPr>
      <w:r w:rsidRPr="00D85472">
        <w:rPr>
          <w:rFonts w:cs="Times New Roman"/>
          <w:lang w:val="en-GB"/>
        </w:rPr>
        <w:br w:type="page"/>
      </w:r>
    </w:p>
    <w:p w14:paraId="261C1AF1" w14:textId="488635A5" w:rsidR="00DA6A01" w:rsidRPr="00D85472" w:rsidRDefault="00DA6A01" w:rsidP="00D85472">
      <w:pPr>
        <w:spacing w:after="0" w:line="240" w:lineRule="auto"/>
        <w:rPr>
          <w:rFonts w:cs="Times New Roman"/>
          <w:lang w:val="en-GB"/>
        </w:rPr>
      </w:pPr>
      <w:r w:rsidRPr="00D85472">
        <w:rPr>
          <w:rFonts w:cs="Times New Roman"/>
          <w:lang w:val="en-GB"/>
        </w:rPr>
        <w:t>Table – Descriptive statistics of the dwellings, n=45</w:t>
      </w:r>
      <w:r w:rsidR="00091EDC" w:rsidRPr="00D85472">
        <w:rPr>
          <w:rFonts w:cs="Times New Roman"/>
          <w:lang w:val="en-GB"/>
        </w:rPr>
        <w:t>.</w:t>
      </w:r>
    </w:p>
    <w:p w14:paraId="04C3FAAD" w14:textId="77777777" w:rsidR="00091EDC" w:rsidRPr="00D85472" w:rsidRDefault="00091EDC" w:rsidP="00D85472">
      <w:pPr>
        <w:spacing w:after="0" w:line="240" w:lineRule="auto"/>
        <w:rPr>
          <w:rFonts w:cs="Times New Roman"/>
          <w:lang w:val="en-GB"/>
        </w:rPr>
      </w:pPr>
    </w:p>
    <w:tbl>
      <w:tblPr>
        <w:tblW w:w="720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20"/>
        <w:gridCol w:w="706"/>
        <w:gridCol w:w="1206"/>
        <w:gridCol w:w="1206"/>
        <w:gridCol w:w="1151"/>
        <w:gridCol w:w="1316"/>
      </w:tblGrid>
      <w:tr w:rsidR="00DA6A01" w:rsidRPr="00D85472" w14:paraId="367205F0" w14:textId="77777777" w:rsidTr="00DB7ACB">
        <w:trPr>
          <w:trHeight w:val="300"/>
          <w:jc w:val="center"/>
        </w:trPr>
        <w:tc>
          <w:tcPr>
            <w:tcW w:w="1620" w:type="dxa"/>
            <w:tcBorders>
              <w:top w:val="single" w:sz="18" w:space="0" w:color="auto"/>
              <w:bottom w:val="single" w:sz="18" w:space="0" w:color="auto"/>
              <w:right w:val="single" w:sz="12" w:space="0" w:color="auto"/>
            </w:tcBorders>
            <w:shd w:val="clear" w:color="auto" w:fill="auto"/>
            <w:noWrap/>
            <w:vAlign w:val="center"/>
            <w:hideMark/>
          </w:tcPr>
          <w:p w14:paraId="1F424401" w14:textId="77777777" w:rsidR="00DA6A01" w:rsidRPr="00D85472" w:rsidRDefault="00DA6A01" w:rsidP="00091EDC">
            <w:pPr>
              <w:spacing w:after="0" w:line="240" w:lineRule="auto"/>
              <w:jc w:val="center"/>
              <w:rPr>
                <w:rFonts w:eastAsia="Times New Roman" w:cs="Times New Roman"/>
                <w:b/>
                <w:color w:val="000000"/>
                <w:sz w:val="20"/>
                <w:lang w:val="en-GB"/>
              </w:rPr>
            </w:pPr>
            <w:r w:rsidRPr="00D85472">
              <w:rPr>
                <w:rFonts w:eastAsia="Times New Roman" w:cs="Times New Roman"/>
                <w:b/>
                <w:color w:val="000000"/>
                <w:sz w:val="20"/>
                <w:lang w:val="en-GB"/>
              </w:rPr>
              <w:t>Variable</w:t>
            </w:r>
          </w:p>
        </w:tc>
        <w:tc>
          <w:tcPr>
            <w:tcW w:w="706"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14:paraId="4C379388" w14:textId="77777777" w:rsidR="00DA6A01" w:rsidRPr="00D85472" w:rsidRDefault="00DA6A01" w:rsidP="00091EDC">
            <w:pPr>
              <w:spacing w:after="0" w:line="240" w:lineRule="auto"/>
              <w:jc w:val="center"/>
              <w:rPr>
                <w:rFonts w:eastAsia="Times New Roman" w:cs="Times New Roman"/>
                <w:b/>
                <w:color w:val="000000"/>
                <w:sz w:val="20"/>
                <w:lang w:val="en-GB"/>
              </w:rPr>
            </w:pPr>
            <w:proofErr w:type="spellStart"/>
            <w:r w:rsidRPr="00D85472">
              <w:rPr>
                <w:rFonts w:eastAsia="Times New Roman" w:cs="Times New Roman"/>
                <w:b/>
                <w:color w:val="000000"/>
                <w:sz w:val="20"/>
                <w:lang w:val="en-GB"/>
              </w:rPr>
              <w:t>Obs</w:t>
            </w:r>
            <w:proofErr w:type="spellEnd"/>
          </w:p>
        </w:tc>
        <w:tc>
          <w:tcPr>
            <w:tcW w:w="1206"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14:paraId="0B23B8F4" w14:textId="77777777" w:rsidR="00DA6A01" w:rsidRPr="00D85472" w:rsidRDefault="00DA6A01" w:rsidP="00091EDC">
            <w:pPr>
              <w:spacing w:after="0" w:line="240" w:lineRule="auto"/>
              <w:jc w:val="center"/>
              <w:rPr>
                <w:rFonts w:eastAsia="Times New Roman" w:cs="Times New Roman"/>
                <w:b/>
                <w:color w:val="000000"/>
                <w:sz w:val="20"/>
                <w:lang w:val="en-GB"/>
              </w:rPr>
            </w:pPr>
            <w:r w:rsidRPr="00D85472">
              <w:rPr>
                <w:rFonts w:eastAsia="Times New Roman" w:cs="Times New Roman"/>
                <w:b/>
                <w:color w:val="000000"/>
                <w:sz w:val="20"/>
                <w:lang w:val="en-GB"/>
              </w:rPr>
              <w:t>Mean</w:t>
            </w:r>
          </w:p>
        </w:tc>
        <w:tc>
          <w:tcPr>
            <w:tcW w:w="1206"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14:paraId="747B155F" w14:textId="77777777" w:rsidR="00DA6A01" w:rsidRPr="00D85472" w:rsidRDefault="00DA6A01" w:rsidP="00091EDC">
            <w:pPr>
              <w:spacing w:after="0" w:line="240" w:lineRule="auto"/>
              <w:jc w:val="center"/>
              <w:rPr>
                <w:rFonts w:eastAsia="Times New Roman" w:cs="Times New Roman"/>
                <w:b/>
                <w:color w:val="000000"/>
                <w:sz w:val="20"/>
                <w:lang w:val="en-GB"/>
              </w:rPr>
            </w:pPr>
            <w:r w:rsidRPr="00D85472">
              <w:rPr>
                <w:rFonts w:eastAsia="Times New Roman" w:cs="Times New Roman"/>
                <w:b/>
                <w:color w:val="000000"/>
                <w:sz w:val="20"/>
                <w:lang w:val="en-GB"/>
              </w:rPr>
              <w:t>Std. Dev.</w:t>
            </w:r>
          </w:p>
        </w:tc>
        <w:tc>
          <w:tcPr>
            <w:tcW w:w="1151" w:type="dxa"/>
            <w:tcBorders>
              <w:top w:val="single" w:sz="18" w:space="0" w:color="auto"/>
              <w:left w:val="single" w:sz="12" w:space="0" w:color="auto"/>
              <w:bottom w:val="single" w:sz="18" w:space="0" w:color="auto"/>
              <w:right w:val="single" w:sz="12" w:space="0" w:color="auto"/>
            </w:tcBorders>
            <w:shd w:val="clear" w:color="auto" w:fill="auto"/>
            <w:noWrap/>
            <w:vAlign w:val="center"/>
            <w:hideMark/>
          </w:tcPr>
          <w:p w14:paraId="30EFC836" w14:textId="77777777" w:rsidR="00DA6A01" w:rsidRPr="00D85472" w:rsidRDefault="00DA6A01" w:rsidP="00091EDC">
            <w:pPr>
              <w:spacing w:after="0" w:line="240" w:lineRule="auto"/>
              <w:jc w:val="center"/>
              <w:rPr>
                <w:rFonts w:eastAsia="Times New Roman" w:cs="Times New Roman"/>
                <w:b/>
                <w:color w:val="000000"/>
                <w:sz w:val="20"/>
                <w:lang w:val="en-GB"/>
              </w:rPr>
            </w:pPr>
            <w:r w:rsidRPr="00D85472">
              <w:rPr>
                <w:rFonts w:eastAsia="Times New Roman" w:cs="Times New Roman"/>
                <w:b/>
                <w:color w:val="000000"/>
                <w:sz w:val="20"/>
                <w:lang w:val="en-GB"/>
              </w:rPr>
              <w:t>Min</w:t>
            </w:r>
          </w:p>
        </w:tc>
        <w:tc>
          <w:tcPr>
            <w:tcW w:w="1316" w:type="dxa"/>
            <w:tcBorders>
              <w:top w:val="single" w:sz="18" w:space="0" w:color="auto"/>
              <w:left w:val="single" w:sz="12" w:space="0" w:color="auto"/>
              <w:bottom w:val="single" w:sz="18" w:space="0" w:color="auto"/>
            </w:tcBorders>
            <w:shd w:val="clear" w:color="auto" w:fill="auto"/>
            <w:noWrap/>
            <w:vAlign w:val="center"/>
            <w:hideMark/>
          </w:tcPr>
          <w:p w14:paraId="79E08C44" w14:textId="77777777" w:rsidR="00DA6A01" w:rsidRPr="00D85472" w:rsidRDefault="00DA6A01" w:rsidP="00091EDC">
            <w:pPr>
              <w:spacing w:after="0" w:line="240" w:lineRule="auto"/>
              <w:jc w:val="center"/>
              <w:rPr>
                <w:rFonts w:eastAsia="Times New Roman" w:cs="Times New Roman"/>
                <w:b/>
                <w:color w:val="000000"/>
                <w:sz w:val="20"/>
                <w:lang w:val="en-GB"/>
              </w:rPr>
            </w:pPr>
            <w:r w:rsidRPr="00D85472">
              <w:rPr>
                <w:rFonts w:eastAsia="Times New Roman" w:cs="Times New Roman"/>
                <w:b/>
                <w:color w:val="000000"/>
                <w:sz w:val="20"/>
                <w:lang w:val="en-GB"/>
              </w:rPr>
              <w:t>Max</w:t>
            </w:r>
          </w:p>
        </w:tc>
      </w:tr>
      <w:tr w:rsidR="00DA6A01" w:rsidRPr="00D85472" w14:paraId="50BE830C" w14:textId="77777777" w:rsidTr="00DB7ACB">
        <w:trPr>
          <w:trHeight w:val="300"/>
          <w:jc w:val="center"/>
        </w:trPr>
        <w:tc>
          <w:tcPr>
            <w:tcW w:w="1620" w:type="dxa"/>
            <w:tcBorders>
              <w:top w:val="single" w:sz="18" w:space="0" w:color="auto"/>
              <w:right w:val="single" w:sz="12" w:space="0" w:color="auto"/>
            </w:tcBorders>
            <w:shd w:val="clear" w:color="auto" w:fill="auto"/>
            <w:noWrap/>
            <w:vAlign w:val="bottom"/>
            <w:hideMark/>
          </w:tcPr>
          <w:p w14:paraId="4F5A9E21"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DUOA</w:t>
            </w:r>
          </w:p>
        </w:tc>
        <w:tc>
          <w:tcPr>
            <w:tcW w:w="706" w:type="dxa"/>
            <w:tcBorders>
              <w:top w:val="single" w:sz="18" w:space="0" w:color="auto"/>
              <w:left w:val="single" w:sz="12" w:space="0" w:color="auto"/>
              <w:right w:val="single" w:sz="12" w:space="0" w:color="auto"/>
            </w:tcBorders>
            <w:shd w:val="clear" w:color="auto" w:fill="auto"/>
            <w:noWrap/>
            <w:vAlign w:val="center"/>
            <w:hideMark/>
          </w:tcPr>
          <w:p w14:paraId="62713EF0"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270</w:t>
            </w:r>
          </w:p>
        </w:tc>
        <w:tc>
          <w:tcPr>
            <w:tcW w:w="1206" w:type="dxa"/>
            <w:tcBorders>
              <w:top w:val="single" w:sz="18" w:space="0" w:color="auto"/>
              <w:left w:val="single" w:sz="12" w:space="0" w:color="auto"/>
              <w:right w:val="single" w:sz="12" w:space="0" w:color="auto"/>
            </w:tcBorders>
            <w:shd w:val="clear" w:color="auto" w:fill="auto"/>
            <w:noWrap/>
            <w:vAlign w:val="center"/>
            <w:hideMark/>
          </w:tcPr>
          <w:p w14:paraId="2D886D0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23</w:t>
            </w:r>
          </w:p>
        </w:tc>
        <w:tc>
          <w:tcPr>
            <w:tcW w:w="1206" w:type="dxa"/>
            <w:tcBorders>
              <w:top w:val="single" w:sz="18" w:space="0" w:color="auto"/>
              <w:left w:val="single" w:sz="12" w:space="0" w:color="auto"/>
              <w:right w:val="single" w:sz="12" w:space="0" w:color="auto"/>
            </w:tcBorders>
            <w:shd w:val="clear" w:color="auto" w:fill="auto"/>
            <w:noWrap/>
            <w:vAlign w:val="center"/>
            <w:hideMark/>
          </w:tcPr>
          <w:p w14:paraId="65CC933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13.01129</w:t>
            </w:r>
          </w:p>
        </w:tc>
        <w:tc>
          <w:tcPr>
            <w:tcW w:w="1151" w:type="dxa"/>
            <w:tcBorders>
              <w:top w:val="single" w:sz="18" w:space="0" w:color="auto"/>
              <w:left w:val="single" w:sz="12" w:space="0" w:color="auto"/>
              <w:right w:val="single" w:sz="12" w:space="0" w:color="auto"/>
            </w:tcBorders>
            <w:shd w:val="clear" w:color="auto" w:fill="auto"/>
            <w:noWrap/>
            <w:vAlign w:val="center"/>
            <w:hideMark/>
          </w:tcPr>
          <w:p w14:paraId="7437A83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c>
          <w:tcPr>
            <w:tcW w:w="1316" w:type="dxa"/>
            <w:tcBorders>
              <w:top w:val="single" w:sz="18" w:space="0" w:color="auto"/>
              <w:left w:val="single" w:sz="12" w:space="0" w:color="auto"/>
            </w:tcBorders>
            <w:shd w:val="clear" w:color="auto" w:fill="auto"/>
            <w:noWrap/>
            <w:vAlign w:val="center"/>
            <w:hideMark/>
          </w:tcPr>
          <w:p w14:paraId="163D825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r>
      <w:tr w:rsidR="00DA6A01" w:rsidRPr="00D85472" w14:paraId="36A6B97D" w14:textId="77777777" w:rsidTr="00DB7ACB">
        <w:trPr>
          <w:trHeight w:val="300"/>
          <w:jc w:val="center"/>
        </w:trPr>
        <w:tc>
          <w:tcPr>
            <w:tcW w:w="1620" w:type="dxa"/>
            <w:tcBorders>
              <w:right w:val="single" w:sz="12" w:space="0" w:color="auto"/>
            </w:tcBorders>
            <w:shd w:val="clear" w:color="auto" w:fill="auto"/>
            <w:noWrap/>
            <w:vAlign w:val="bottom"/>
            <w:hideMark/>
          </w:tcPr>
          <w:p w14:paraId="37B640B9"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YEAR</w:t>
            </w:r>
          </w:p>
        </w:tc>
        <w:tc>
          <w:tcPr>
            <w:tcW w:w="706" w:type="dxa"/>
            <w:tcBorders>
              <w:left w:val="single" w:sz="12" w:space="0" w:color="auto"/>
              <w:right w:val="single" w:sz="12" w:space="0" w:color="auto"/>
            </w:tcBorders>
            <w:shd w:val="clear" w:color="auto" w:fill="auto"/>
            <w:noWrap/>
            <w:vAlign w:val="center"/>
            <w:hideMark/>
          </w:tcPr>
          <w:p w14:paraId="65DDB91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270</w:t>
            </w:r>
          </w:p>
        </w:tc>
        <w:tc>
          <w:tcPr>
            <w:tcW w:w="1206" w:type="dxa"/>
            <w:tcBorders>
              <w:left w:val="single" w:sz="12" w:space="0" w:color="auto"/>
              <w:right w:val="single" w:sz="12" w:space="0" w:color="auto"/>
            </w:tcBorders>
            <w:shd w:val="clear" w:color="auto" w:fill="auto"/>
            <w:noWrap/>
            <w:vAlign w:val="center"/>
            <w:hideMark/>
          </w:tcPr>
          <w:p w14:paraId="0613B1C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3.5</w:t>
            </w:r>
          </w:p>
        </w:tc>
        <w:tc>
          <w:tcPr>
            <w:tcW w:w="1206" w:type="dxa"/>
            <w:tcBorders>
              <w:left w:val="single" w:sz="12" w:space="0" w:color="auto"/>
              <w:right w:val="single" w:sz="12" w:space="0" w:color="auto"/>
            </w:tcBorders>
            <w:shd w:val="clear" w:color="auto" w:fill="auto"/>
            <w:noWrap/>
            <w:vAlign w:val="center"/>
            <w:hideMark/>
          </w:tcPr>
          <w:p w14:paraId="3C97FF20"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1.710997</w:t>
            </w:r>
          </w:p>
        </w:tc>
        <w:tc>
          <w:tcPr>
            <w:tcW w:w="1151" w:type="dxa"/>
            <w:tcBorders>
              <w:left w:val="single" w:sz="12" w:space="0" w:color="auto"/>
              <w:right w:val="single" w:sz="12" w:space="0" w:color="auto"/>
            </w:tcBorders>
            <w:shd w:val="clear" w:color="auto" w:fill="auto"/>
            <w:noWrap/>
            <w:vAlign w:val="center"/>
            <w:hideMark/>
          </w:tcPr>
          <w:p w14:paraId="2E2354A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c>
          <w:tcPr>
            <w:tcW w:w="1316" w:type="dxa"/>
            <w:tcBorders>
              <w:left w:val="single" w:sz="12" w:space="0" w:color="auto"/>
            </w:tcBorders>
            <w:shd w:val="clear" w:color="auto" w:fill="auto"/>
            <w:noWrap/>
            <w:vAlign w:val="center"/>
            <w:hideMark/>
          </w:tcPr>
          <w:p w14:paraId="1C7459D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6</w:t>
            </w:r>
          </w:p>
        </w:tc>
      </w:tr>
      <w:tr w:rsidR="00DA6A01" w:rsidRPr="00D85472" w14:paraId="72AF9045" w14:textId="77777777" w:rsidTr="00DB7ACB">
        <w:trPr>
          <w:trHeight w:val="300"/>
          <w:jc w:val="center"/>
        </w:trPr>
        <w:tc>
          <w:tcPr>
            <w:tcW w:w="1620" w:type="dxa"/>
            <w:tcBorders>
              <w:right w:val="single" w:sz="12" w:space="0" w:color="auto"/>
            </w:tcBorders>
            <w:shd w:val="clear" w:color="auto" w:fill="auto"/>
            <w:noWrap/>
            <w:vAlign w:val="bottom"/>
            <w:hideMark/>
          </w:tcPr>
          <w:p w14:paraId="3526AEFA"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EndYear</w:t>
            </w:r>
            <w:proofErr w:type="spellEnd"/>
          </w:p>
        </w:tc>
        <w:tc>
          <w:tcPr>
            <w:tcW w:w="706" w:type="dxa"/>
            <w:tcBorders>
              <w:left w:val="single" w:sz="12" w:space="0" w:color="auto"/>
              <w:right w:val="single" w:sz="12" w:space="0" w:color="auto"/>
            </w:tcBorders>
            <w:shd w:val="clear" w:color="auto" w:fill="auto"/>
            <w:noWrap/>
            <w:vAlign w:val="center"/>
            <w:hideMark/>
          </w:tcPr>
          <w:p w14:paraId="28137A00"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0E3C08E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2010</w:t>
            </w:r>
          </w:p>
        </w:tc>
        <w:tc>
          <w:tcPr>
            <w:tcW w:w="1206" w:type="dxa"/>
            <w:tcBorders>
              <w:left w:val="single" w:sz="12" w:space="0" w:color="auto"/>
              <w:right w:val="single" w:sz="12" w:space="0" w:color="auto"/>
            </w:tcBorders>
            <w:shd w:val="clear" w:color="auto" w:fill="auto"/>
            <w:noWrap/>
            <w:vAlign w:val="center"/>
            <w:hideMark/>
          </w:tcPr>
          <w:p w14:paraId="302F250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1.712107</w:t>
            </w:r>
          </w:p>
        </w:tc>
        <w:tc>
          <w:tcPr>
            <w:tcW w:w="1151" w:type="dxa"/>
            <w:tcBorders>
              <w:left w:val="single" w:sz="12" w:space="0" w:color="auto"/>
              <w:right w:val="single" w:sz="12" w:space="0" w:color="auto"/>
            </w:tcBorders>
            <w:shd w:val="clear" w:color="auto" w:fill="auto"/>
            <w:noWrap/>
            <w:vAlign w:val="center"/>
            <w:hideMark/>
          </w:tcPr>
          <w:p w14:paraId="1BACF2A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2006</w:t>
            </w:r>
          </w:p>
        </w:tc>
        <w:tc>
          <w:tcPr>
            <w:tcW w:w="1316" w:type="dxa"/>
            <w:tcBorders>
              <w:left w:val="single" w:sz="12" w:space="0" w:color="auto"/>
            </w:tcBorders>
            <w:shd w:val="clear" w:color="auto" w:fill="auto"/>
            <w:noWrap/>
            <w:vAlign w:val="center"/>
            <w:hideMark/>
          </w:tcPr>
          <w:p w14:paraId="54E5104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2012</w:t>
            </w:r>
          </w:p>
        </w:tc>
      </w:tr>
      <w:tr w:rsidR="00DA6A01" w:rsidRPr="00D85472" w14:paraId="1B4D2504" w14:textId="77777777" w:rsidTr="00DB7ACB">
        <w:trPr>
          <w:trHeight w:val="300"/>
          <w:jc w:val="center"/>
        </w:trPr>
        <w:tc>
          <w:tcPr>
            <w:tcW w:w="1620" w:type="dxa"/>
            <w:tcBorders>
              <w:right w:val="single" w:sz="12" w:space="0" w:color="auto"/>
            </w:tcBorders>
            <w:shd w:val="clear" w:color="auto" w:fill="auto"/>
            <w:noWrap/>
            <w:vAlign w:val="bottom"/>
            <w:hideMark/>
          </w:tcPr>
          <w:p w14:paraId="543EA4A5"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SECA</w:t>
            </w:r>
          </w:p>
        </w:tc>
        <w:tc>
          <w:tcPr>
            <w:tcW w:w="706" w:type="dxa"/>
            <w:tcBorders>
              <w:left w:val="single" w:sz="12" w:space="0" w:color="auto"/>
              <w:right w:val="single" w:sz="12" w:space="0" w:color="auto"/>
            </w:tcBorders>
            <w:shd w:val="clear" w:color="auto" w:fill="auto"/>
            <w:noWrap/>
            <w:vAlign w:val="center"/>
            <w:hideMark/>
          </w:tcPr>
          <w:p w14:paraId="023F384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270</w:t>
            </w:r>
          </w:p>
        </w:tc>
        <w:tc>
          <w:tcPr>
            <w:tcW w:w="1206" w:type="dxa"/>
            <w:tcBorders>
              <w:left w:val="single" w:sz="12" w:space="0" w:color="auto"/>
              <w:right w:val="single" w:sz="12" w:space="0" w:color="auto"/>
            </w:tcBorders>
            <w:shd w:val="clear" w:color="auto" w:fill="auto"/>
            <w:noWrap/>
            <w:vAlign w:val="center"/>
            <w:hideMark/>
          </w:tcPr>
          <w:p w14:paraId="4E5E58E0"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0.308968</w:t>
            </w:r>
          </w:p>
        </w:tc>
        <w:tc>
          <w:tcPr>
            <w:tcW w:w="1206" w:type="dxa"/>
            <w:tcBorders>
              <w:left w:val="single" w:sz="12" w:space="0" w:color="auto"/>
              <w:right w:val="single" w:sz="12" w:space="0" w:color="auto"/>
            </w:tcBorders>
            <w:shd w:val="clear" w:color="auto" w:fill="auto"/>
            <w:noWrap/>
            <w:vAlign w:val="center"/>
            <w:hideMark/>
          </w:tcPr>
          <w:p w14:paraId="148470D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0.130606</w:t>
            </w:r>
          </w:p>
        </w:tc>
        <w:tc>
          <w:tcPr>
            <w:tcW w:w="1151" w:type="dxa"/>
            <w:tcBorders>
              <w:left w:val="single" w:sz="12" w:space="0" w:color="auto"/>
              <w:right w:val="single" w:sz="12" w:space="0" w:color="auto"/>
            </w:tcBorders>
            <w:shd w:val="clear" w:color="auto" w:fill="auto"/>
            <w:noWrap/>
            <w:vAlign w:val="center"/>
            <w:hideMark/>
          </w:tcPr>
          <w:p w14:paraId="37EA461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.0810141</w:t>
            </w:r>
          </w:p>
        </w:tc>
        <w:tc>
          <w:tcPr>
            <w:tcW w:w="1316" w:type="dxa"/>
            <w:tcBorders>
              <w:left w:val="single" w:sz="12" w:space="0" w:color="auto"/>
            </w:tcBorders>
            <w:shd w:val="clear" w:color="auto" w:fill="auto"/>
            <w:noWrap/>
            <w:vAlign w:val="center"/>
            <w:hideMark/>
          </w:tcPr>
          <w:p w14:paraId="3190CE7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.6691222</w:t>
            </w:r>
          </w:p>
        </w:tc>
      </w:tr>
      <w:tr w:rsidR="00DA6A01" w:rsidRPr="00D85472" w14:paraId="6D0A59C3" w14:textId="77777777" w:rsidTr="00DB7ACB">
        <w:trPr>
          <w:trHeight w:val="300"/>
          <w:jc w:val="center"/>
        </w:trPr>
        <w:tc>
          <w:tcPr>
            <w:tcW w:w="1620" w:type="dxa"/>
            <w:tcBorders>
              <w:right w:val="single" w:sz="12" w:space="0" w:color="auto"/>
            </w:tcBorders>
            <w:shd w:val="clear" w:color="auto" w:fill="auto"/>
            <w:noWrap/>
            <w:vAlign w:val="bottom"/>
            <w:hideMark/>
          </w:tcPr>
          <w:p w14:paraId="7991BB01"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PROJECT</w:t>
            </w:r>
          </w:p>
        </w:tc>
        <w:tc>
          <w:tcPr>
            <w:tcW w:w="706" w:type="dxa"/>
            <w:tcBorders>
              <w:left w:val="single" w:sz="12" w:space="0" w:color="auto"/>
              <w:right w:val="single" w:sz="12" w:space="0" w:color="auto"/>
            </w:tcBorders>
            <w:shd w:val="clear" w:color="auto" w:fill="auto"/>
            <w:noWrap/>
            <w:vAlign w:val="center"/>
            <w:hideMark/>
          </w:tcPr>
          <w:p w14:paraId="66C00A2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7053411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c>
          <w:tcPr>
            <w:tcW w:w="1206" w:type="dxa"/>
            <w:tcBorders>
              <w:left w:val="single" w:sz="12" w:space="0" w:color="auto"/>
              <w:right w:val="single" w:sz="12" w:space="0" w:color="auto"/>
            </w:tcBorders>
            <w:shd w:val="clear" w:color="auto" w:fill="auto"/>
            <w:noWrap/>
            <w:vAlign w:val="center"/>
            <w:hideMark/>
          </w:tcPr>
          <w:p w14:paraId="44F4893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151" w:type="dxa"/>
            <w:tcBorders>
              <w:left w:val="single" w:sz="12" w:space="0" w:color="auto"/>
              <w:right w:val="single" w:sz="12" w:space="0" w:color="auto"/>
            </w:tcBorders>
            <w:shd w:val="clear" w:color="auto" w:fill="auto"/>
            <w:noWrap/>
            <w:vAlign w:val="center"/>
            <w:hideMark/>
          </w:tcPr>
          <w:p w14:paraId="7440BAA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c>
          <w:tcPr>
            <w:tcW w:w="1316" w:type="dxa"/>
            <w:tcBorders>
              <w:left w:val="single" w:sz="12" w:space="0" w:color="auto"/>
            </w:tcBorders>
            <w:shd w:val="clear" w:color="auto" w:fill="auto"/>
            <w:noWrap/>
            <w:vAlign w:val="center"/>
            <w:hideMark/>
          </w:tcPr>
          <w:p w14:paraId="724570E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4B82FB56" w14:textId="77777777" w:rsidTr="00DB7ACB">
        <w:trPr>
          <w:trHeight w:val="300"/>
          <w:jc w:val="center"/>
        </w:trPr>
        <w:tc>
          <w:tcPr>
            <w:tcW w:w="1620" w:type="dxa"/>
            <w:tcBorders>
              <w:right w:val="single" w:sz="12" w:space="0" w:color="auto"/>
            </w:tcBorders>
            <w:shd w:val="clear" w:color="auto" w:fill="auto"/>
            <w:noWrap/>
            <w:vAlign w:val="bottom"/>
            <w:hideMark/>
          </w:tcPr>
          <w:p w14:paraId="41227F0F"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Realization11</w:t>
            </w:r>
          </w:p>
        </w:tc>
        <w:tc>
          <w:tcPr>
            <w:tcW w:w="706" w:type="dxa"/>
            <w:tcBorders>
              <w:left w:val="single" w:sz="12" w:space="0" w:color="auto"/>
              <w:right w:val="single" w:sz="12" w:space="0" w:color="auto"/>
            </w:tcBorders>
            <w:shd w:val="clear" w:color="auto" w:fill="auto"/>
            <w:noWrap/>
            <w:vAlign w:val="center"/>
            <w:hideMark/>
          </w:tcPr>
          <w:p w14:paraId="6371279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0709584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0.244445</w:t>
            </w:r>
          </w:p>
        </w:tc>
        <w:tc>
          <w:tcPr>
            <w:tcW w:w="1206" w:type="dxa"/>
            <w:tcBorders>
              <w:left w:val="single" w:sz="12" w:space="0" w:color="auto"/>
              <w:right w:val="single" w:sz="12" w:space="0" w:color="auto"/>
            </w:tcBorders>
            <w:shd w:val="clear" w:color="auto" w:fill="auto"/>
            <w:noWrap/>
            <w:vAlign w:val="center"/>
            <w:hideMark/>
          </w:tcPr>
          <w:p w14:paraId="0C8B5B2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0.434613</w:t>
            </w:r>
          </w:p>
        </w:tc>
        <w:tc>
          <w:tcPr>
            <w:tcW w:w="1151" w:type="dxa"/>
            <w:tcBorders>
              <w:left w:val="single" w:sz="12" w:space="0" w:color="auto"/>
              <w:right w:val="single" w:sz="12" w:space="0" w:color="auto"/>
            </w:tcBorders>
            <w:shd w:val="clear" w:color="auto" w:fill="auto"/>
            <w:noWrap/>
            <w:vAlign w:val="center"/>
            <w:hideMark/>
          </w:tcPr>
          <w:p w14:paraId="5934C11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hideMark/>
          </w:tcPr>
          <w:p w14:paraId="57E01B4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31EB8F21" w14:textId="77777777" w:rsidTr="00DB7ACB">
        <w:trPr>
          <w:trHeight w:val="300"/>
          <w:jc w:val="center"/>
        </w:trPr>
        <w:tc>
          <w:tcPr>
            <w:tcW w:w="1620" w:type="dxa"/>
            <w:tcBorders>
              <w:right w:val="single" w:sz="12" w:space="0" w:color="auto"/>
            </w:tcBorders>
            <w:shd w:val="clear" w:color="auto" w:fill="auto"/>
            <w:noWrap/>
            <w:vAlign w:val="bottom"/>
            <w:hideMark/>
          </w:tcPr>
          <w:p w14:paraId="7AF0E0D7"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Realization09</w:t>
            </w:r>
          </w:p>
        </w:tc>
        <w:tc>
          <w:tcPr>
            <w:tcW w:w="706" w:type="dxa"/>
            <w:tcBorders>
              <w:left w:val="single" w:sz="12" w:space="0" w:color="auto"/>
              <w:right w:val="single" w:sz="12" w:space="0" w:color="auto"/>
            </w:tcBorders>
            <w:shd w:val="clear" w:color="auto" w:fill="auto"/>
            <w:noWrap/>
            <w:vAlign w:val="center"/>
            <w:hideMark/>
          </w:tcPr>
          <w:p w14:paraId="05EE86B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2AB25EC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0.266667</w:t>
            </w:r>
          </w:p>
        </w:tc>
        <w:tc>
          <w:tcPr>
            <w:tcW w:w="1206" w:type="dxa"/>
            <w:tcBorders>
              <w:left w:val="single" w:sz="12" w:space="0" w:color="auto"/>
              <w:right w:val="single" w:sz="12" w:space="0" w:color="auto"/>
            </w:tcBorders>
            <w:shd w:val="clear" w:color="auto" w:fill="auto"/>
            <w:noWrap/>
            <w:vAlign w:val="center"/>
            <w:hideMark/>
          </w:tcPr>
          <w:p w14:paraId="17EA419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0.447214</w:t>
            </w:r>
          </w:p>
        </w:tc>
        <w:tc>
          <w:tcPr>
            <w:tcW w:w="1151" w:type="dxa"/>
            <w:tcBorders>
              <w:left w:val="single" w:sz="12" w:space="0" w:color="auto"/>
              <w:right w:val="single" w:sz="12" w:space="0" w:color="auto"/>
            </w:tcBorders>
            <w:shd w:val="clear" w:color="auto" w:fill="auto"/>
            <w:noWrap/>
            <w:vAlign w:val="center"/>
            <w:hideMark/>
          </w:tcPr>
          <w:p w14:paraId="10E34D7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hideMark/>
          </w:tcPr>
          <w:p w14:paraId="7B20BC7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3CC4D417" w14:textId="77777777" w:rsidTr="00DB7ACB">
        <w:trPr>
          <w:trHeight w:val="300"/>
          <w:jc w:val="center"/>
        </w:trPr>
        <w:tc>
          <w:tcPr>
            <w:tcW w:w="1620" w:type="dxa"/>
            <w:tcBorders>
              <w:right w:val="single" w:sz="12" w:space="0" w:color="auto"/>
            </w:tcBorders>
            <w:shd w:val="clear" w:color="auto" w:fill="auto"/>
            <w:noWrap/>
            <w:vAlign w:val="bottom"/>
            <w:hideMark/>
          </w:tcPr>
          <w:p w14:paraId="34DEB3BD"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Inv6</w:t>
            </w:r>
          </w:p>
        </w:tc>
        <w:tc>
          <w:tcPr>
            <w:tcW w:w="706" w:type="dxa"/>
            <w:tcBorders>
              <w:left w:val="single" w:sz="12" w:space="0" w:color="auto"/>
              <w:right w:val="single" w:sz="12" w:space="0" w:color="auto"/>
            </w:tcBorders>
            <w:shd w:val="clear" w:color="auto" w:fill="auto"/>
            <w:noWrap/>
            <w:vAlign w:val="center"/>
            <w:hideMark/>
          </w:tcPr>
          <w:p w14:paraId="5EA22FD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0F11AD8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8.188175</w:t>
            </w:r>
          </w:p>
        </w:tc>
        <w:tc>
          <w:tcPr>
            <w:tcW w:w="1206" w:type="dxa"/>
            <w:tcBorders>
              <w:left w:val="single" w:sz="12" w:space="0" w:color="auto"/>
              <w:right w:val="single" w:sz="12" w:space="0" w:color="auto"/>
            </w:tcBorders>
            <w:shd w:val="clear" w:color="auto" w:fill="auto"/>
            <w:noWrap/>
            <w:vAlign w:val="center"/>
            <w:hideMark/>
          </w:tcPr>
          <w:p w14:paraId="343A37B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6.067268</w:t>
            </w:r>
          </w:p>
        </w:tc>
        <w:tc>
          <w:tcPr>
            <w:tcW w:w="1151" w:type="dxa"/>
            <w:tcBorders>
              <w:left w:val="single" w:sz="12" w:space="0" w:color="auto"/>
              <w:right w:val="single" w:sz="12" w:space="0" w:color="auto"/>
            </w:tcBorders>
            <w:shd w:val="clear" w:color="auto" w:fill="auto"/>
            <w:noWrap/>
            <w:vAlign w:val="center"/>
            <w:hideMark/>
          </w:tcPr>
          <w:p w14:paraId="3878E32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.338563</w:t>
            </w:r>
          </w:p>
        </w:tc>
        <w:tc>
          <w:tcPr>
            <w:tcW w:w="1316" w:type="dxa"/>
            <w:tcBorders>
              <w:left w:val="single" w:sz="12" w:space="0" w:color="auto"/>
            </w:tcBorders>
            <w:shd w:val="clear" w:color="auto" w:fill="auto"/>
            <w:noWrap/>
            <w:vAlign w:val="center"/>
            <w:hideMark/>
          </w:tcPr>
          <w:p w14:paraId="10AFA11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25</w:t>
            </w:r>
          </w:p>
        </w:tc>
      </w:tr>
      <w:tr w:rsidR="00DA6A01" w:rsidRPr="00D85472" w14:paraId="44322C9A" w14:textId="77777777" w:rsidTr="00DB7ACB">
        <w:trPr>
          <w:trHeight w:val="300"/>
          <w:jc w:val="center"/>
        </w:trPr>
        <w:tc>
          <w:tcPr>
            <w:tcW w:w="1620" w:type="dxa"/>
            <w:tcBorders>
              <w:right w:val="single" w:sz="12" w:space="0" w:color="auto"/>
            </w:tcBorders>
            <w:shd w:val="clear" w:color="auto" w:fill="auto"/>
            <w:noWrap/>
            <w:vAlign w:val="bottom"/>
            <w:hideMark/>
          </w:tcPr>
          <w:p w14:paraId="6609482D"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SubsidyD</w:t>
            </w:r>
            <w:proofErr w:type="spellEnd"/>
          </w:p>
        </w:tc>
        <w:tc>
          <w:tcPr>
            <w:tcW w:w="706" w:type="dxa"/>
            <w:tcBorders>
              <w:left w:val="single" w:sz="12" w:space="0" w:color="auto"/>
              <w:right w:val="single" w:sz="12" w:space="0" w:color="auto"/>
            </w:tcBorders>
            <w:shd w:val="clear" w:color="auto" w:fill="auto"/>
            <w:noWrap/>
            <w:vAlign w:val="center"/>
            <w:hideMark/>
          </w:tcPr>
          <w:p w14:paraId="0D22CDA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0B392BD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0.577778</w:t>
            </w:r>
          </w:p>
        </w:tc>
        <w:tc>
          <w:tcPr>
            <w:tcW w:w="1206" w:type="dxa"/>
            <w:tcBorders>
              <w:left w:val="single" w:sz="12" w:space="0" w:color="auto"/>
              <w:right w:val="single" w:sz="12" w:space="0" w:color="auto"/>
            </w:tcBorders>
            <w:shd w:val="clear" w:color="auto" w:fill="auto"/>
            <w:noWrap/>
            <w:vAlign w:val="center"/>
            <w:hideMark/>
          </w:tcPr>
          <w:p w14:paraId="2B5356E2"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0.499949</w:t>
            </w:r>
          </w:p>
        </w:tc>
        <w:tc>
          <w:tcPr>
            <w:tcW w:w="1151" w:type="dxa"/>
            <w:tcBorders>
              <w:left w:val="single" w:sz="12" w:space="0" w:color="auto"/>
              <w:right w:val="single" w:sz="12" w:space="0" w:color="auto"/>
            </w:tcBorders>
            <w:shd w:val="clear" w:color="auto" w:fill="auto"/>
            <w:noWrap/>
            <w:vAlign w:val="center"/>
            <w:hideMark/>
          </w:tcPr>
          <w:p w14:paraId="3738E10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hideMark/>
          </w:tcPr>
          <w:p w14:paraId="1C1DF44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1184AAB7" w14:textId="77777777" w:rsidTr="00DB7ACB">
        <w:trPr>
          <w:trHeight w:val="300"/>
          <w:jc w:val="center"/>
        </w:trPr>
        <w:tc>
          <w:tcPr>
            <w:tcW w:w="1620" w:type="dxa"/>
            <w:tcBorders>
              <w:right w:val="single" w:sz="12" w:space="0" w:color="auto"/>
            </w:tcBorders>
            <w:shd w:val="clear" w:color="auto" w:fill="auto"/>
            <w:noWrap/>
            <w:vAlign w:val="bottom"/>
            <w:hideMark/>
          </w:tcPr>
          <w:p w14:paraId="53E5E8BC"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SubsidyCZK6</w:t>
            </w:r>
          </w:p>
        </w:tc>
        <w:tc>
          <w:tcPr>
            <w:tcW w:w="706" w:type="dxa"/>
            <w:tcBorders>
              <w:left w:val="single" w:sz="12" w:space="0" w:color="auto"/>
              <w:right w:val="single" w:sz="12" w:space="0" w:color="auto"/>
            </w:tcBorders>
            <w:shd w:val="clear" w:color="auto" w:fill="auto"/>
            <w:noWrap/>
            <w:vAlign w:val="center"/>
            <w:hideMark/>
          </w:tcPr>
          <w:p w14:paraId="361E578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450FB63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2.875959</w:t>
            </w:r>
          </w:p>
        </w:tc>
        <w:tc>
          <w:tcPr>
            <w:tcW w:w="1206" w:type="dxa"/>
            <w:tcBorders>
              <w:left w:val="single" w:sz="12" w:space="0" w:color="auto"/>
              <w:right w:val="single" w:sz="12" w:space="0" w:color="auto"/>
            </w:tcBorders>
            <w:shd w:val="clear" w:color="auto" w:fill="auto"/>
            <w:noWrap/>
            <w:vAlign w:val="center"/>
            <w:hideMark/>
          </w:tcPr>
          <w:p w14:paraId="06CE71B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2.871255</w:t>
            </w:r>
          </w:p>
        </w:tc>
        <w:tc>
          <w:tcPr>
            <w:tcW w:w="1151" w:type="dxa"/>
            <w:tcBorders>
              <w:left w:val="single" w:sz="12" w:space="0" w:color="auto"/>
              <w:right w:val="single" w:sz="12" w:space="0" w:color="auto"/>
            </w:tcBorders>
            <w:shd w:val="clear" w:color="auto" w:fill="auto"/>
            <w:noWrap/>
            <w:vAlign w:val="center"/>
            <w:hideMark/>
          </w:tcPr>
          <w:p w14:paraId="38EC43A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.306000</w:t>
            </w:r>
          </w:p>
        </w:tc>
        <w:tc>
          <w:tcPr>
            <w:tcW w:w="1316" w:type="dxa"/>
            <w:tcBorders>
              <w:left w:val="single" w:sz="12" w:space="0" w:color="auto"/>
            </w:tcBorders>
            <w:shd w:val="clear" w:color="auto" w:fill="auto"/>
            <w:noWrap/>
            <w:vAlign w:val="center"/>
            <w:hideMark/>
          </w:tcPr>
          <w:p w14:paraId="5AEB576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11</w:t>
            </w:r>
          </w:p>
        </w:tc>
      </w:tr>
      <w:tr w:rsidR="00DA6A01" w:rsidRPr="00D85472" w14:paraId="50407FE0" w14:textId="77777777" w:rsidTr="00DB7ACB">
        <w:trPr>
          <w:trHeight w:val="300"/>
          <w:jc w:val="center"/>
        </w:trPr>
        <w:tc>
          <w:tcPr>
            <w:tcW w:w="1620" w:type="dxa"/>
            <w:tcBorders>
              <w:right w:val="single" w:sz="12" w:space="0" w:color="auto"/>
            </w:tcBorders>
            <w:shd w:val="clear" w:color="auto" w:fill="auto"/>
            <w:noWrap/>
            <w:vAlign w:val="bottom"/>
            <w:hideMark/>
          </w:tcPr>
          <w:p w14:paraId="2995ECF9"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SubsidyIR</w:t>
            </w:r>
            <w:proofErr w:type="spellEnd"/>
          </w:p>
        </w:tc>
        <w:tc>
          <w:tcPr>
            <w:tcW w:w="706" w:type="dxa"/>
            <w:tcBorders>
              <w:left w:val="single" w:sz="12" w:space="0" w:color="auto"/>
              <w:right w:val="single" w:sz="12" w:space="0" w:color="auto"/>
            </w:tcBorders>
            <w:shd w:val="clear" w:color="auto" w:fill="auto"/>
            <w:noWrap/>
            <w:vAlign w:val="center"/>
            <w:hideMark/>
          </w:tcPr>
          <w:p w14:paraId="77B0D2A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558EA52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0.333333</w:t>
            </w:r>
          </w:p>
        </w:tc>
        <w:tc>
          <w:tcPr>
            <w:tcW w:w="1206" w:type="dxa"/>
            <w:tcBorders>
              <w:left w:val="single" w:sz="12" w:space="0" w:color="auto"/>
              <w:right w:val="single" w:sz="12" w:space="0" w:color="auto"/>
            </w:tcBorders>
            <w:shd w:val="clear" w:color="auto" w:fill="auto"/>
            <w:noWrap/>
            <w:vAlign w:val="center"/>
            <w:hideMark/>
          </w:tcPr>
          <w:p w14:paraId="5C631B3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0.476731</w:t>
            </w:r>
          </w:p>
        </w:tc>
        <w:tc>
          <w:tcPr>
            <w:tcW w:w="1151" w:type="dxa"/>
            <w:tcBorders>
              <w:left w:val="single" w:sz="12" w:space="0" w:color="auto"/>
              <w:right w:val="single" w:sz="12" w:space="0" w:color="auto"/>
            </w:tcBorders>
            <w:shd w:val="clear" w:color="auto" w:fill="auto"/>
            <w:noWrap/>
            <w:vAlign w:val="center"/>
            <w:hideMark/>
          </w:tcPr>
          <w:p w14:paraId="611705F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hideMark/>
          </w:tcPr>
          <w:p w14:paraId="4B4C7C1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36BF9A61" w14:textId="77777777" w:rsidTr="00DB7ACB">
        <w:trPr>
          <w:trHeight w:val="300"/>
          <w:jc w:val="center"/>
        </w:trPr>
        <w:tc>
          <w:tcPr>
            <w:tcW w:w="1620" w:type="dxa"/>
            <w:tcBorders>
              <w:right w:val="single" w:sz="12" w:space="0" w:color="auto"/>
            </w:tcBorders>
            <w:shd w:val="clear" w:color="auto" w:fill="auto"/>
            <w:noWrap/>
            <w:vAlign w:val="bottom"/>
            <w:hideMark/>
          </w:tcPr>
          <w:p w14:paraId="55769D33"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WRW</w:t>
            </w:r>
          </w:p>
        </w:tc>
        <w:tc>
          <w:tcPr>
            <w:tcW w:w="706" w:type="dxa"/>
            <w:tcBorders>
              <w:left w:val="single" w:sz="12" w:space="0" w:color="auto"/>
              <w:right w:val="single" w:sz="12" w:space="0" w:color="auto"/>
            </w:tcBorders>
            <w:shd w:val="clear" w:color="auto" w:fill="auto"/>
            <w:noWrap/>
            <w:vAlign w:val="center"/>
            <w:hideMark/>
          </w:tcPr>
          <w:p w14:paraId="42798BC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hideMark/>
          </w:tcPr>
          <w:p w14:paraId="4BF48B3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2.533</w:t>
            </w:r>
          </w:p>
        </w:tc>
        <w:tc>
          <w:tcPr>
            <w:tcW w:w="1206" w:type="dxa"/>
            <w:tcBorders>
              <w:left w:val="single" w:sz="12" w:space="0" w:color="auto"/>
              <w:right w:val="single" w:sz="12" w:space="0" w:color="auto"/>
            </w:tcBorders>
            <w:shd w:val="clear" w:color="auto" w:fill="auto"/>
            <w:noWrap/>
            <w:vAlign w:val="center"/>
            <w:hideMark/>
          </w:tcPr>
          <w:p w14:paraId="7F8CA33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0.756787</w:t>
            </w:r>
          </w:p>
        </w:tc>
        <w:tc>
          <w:tcPr>
            <w:tcW w:w="1151" w:type="dxa"/>
            <w:tcBorders>
              <w:left w:val="single" w:sz="12" w:space="0" w:color="auto"/>
              <w:right w:val="single" w:sz="12" w:space="0" w:color="auto"/>
            </w:tcBorders>
            <w:shd w:val="clear" w:color="auto" w:fill="auto"/>
            <w:noWrap/>
            <w:vAlign w:val="center"/>
            <w:hideMark/>
          </w:tcPr>
          <w:p w14:paraId="515ECC6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c>
          <w:tcPr>
            <w:tcW w:w="1316" w:type="dxa"/>
            <w:tcBorders>
              <w:left w:val="single" w:sz="12" w:space="0" w:color="auto"/>
            </w:tcBorders>
            <w:shd w:val="clear" w:color="auto" w:fill="auto"/>
            <w:noWrap/>
            <w:vAlign w:val="center"/>
            <w:hideMark/>
          </w:tcPr>
          <w:p w14:paraId="3CD4474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w:t>
            </w:r>
          </w:p>
        </w:tc>
      </w:tr>
      <w:tr w:rsidR="00DA6A01" w:rsidRPr="00D85472" w14:paraId="05D913CE" w14:textId="77777777" w:rsidTr="00DB7ACB">
        <w:trPr>
          <w:trHeight w:val="300"/>
          <w:jc w:val="center"/>
        </w:trPr>
        <w:tc>
          <w:tcPr>
            <w:tcW w:w="1620" w:type="dxa"/>
            <w:tcBorders>
              <w:right w:val="single" w:sz="12" w:space="0" w:color="auto"/>
            </w:tcBorders>
            <w:shd w:val="clear" w:color="auto" w:fill="auto"/>
            <w:noWrap/>
            <w:vAlign w:val="bottom"/>
          </w:tcPr>
          <w:p w14:paraId="6F92536D"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TBO</w:t>
            </w:r>
          </w:p>
        </w:tc>
        <w:tc>
          <w:tcPr>
            <w:tcW w:w="706" w:type="dxa"/>
            <w:tcBorders>
              <w:left w:val="single" w:sz="12" w:space="0" w:color="auto"/>
              <w:right w:val="single" w:sz="12" w:space="0" w:color="auto"/>
            </w:tcBorders>
            <w:shd w:val="clear" w:color="auto" w:fill="auto"/>
            <w:noWrap/>
            <w:vAlign w:val="center"/>
          </w:tcPr>
          <w:p w14:paraId="5B9774C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5C6803F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1.133333</w:t>
            </w:r>
          </w:p>
        </w:tc>
        <w:tc>
          <w:tcPr>
            <w:tcW w:w="1206" w:type="dxa"/>
            <w:tcBorders>
              <w:left w:val="single" w:sz="12" w:space="0" w:color="auto"/>
              <w:right w:val="single" w:sz="12" w:space="0" w:color="auto"/>
            </w:tcBorders>
            <w:shd w:val="clear" w:color="auto" w:fill="auto"/>
            <w:noWrap/>
            <w:vAlign w:val="center"/>
          </w:tcPr>
          <w:p w14:paraId="1D6DA08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0.842075</w:t>
            </w:r>
          </w:p>
        </w:tc>
        <w:tc>
          <w:tcPr>
            <w:tcW w:w="1151" w:type="dxa"/>
            <w:tcBorders>
              <w:left w:val="single" w:sz="12" w:space="0" w:color="auto"/>
              <w:right w:val="single" w:sz="12" w:space="0" w:color="auto"/>
            </w:tcBorders>
            <w:shd w:val="clear" w:color="auto" w:fill="auto"/>
            <w:noWrap/>
            <w:vAlign w:val="center"/>
          </w:tcPr>
          <w:p w14:paraId="11B44DE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4D1DA89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w:t>
            </w:r>
          </w:p>
        </w:tc>
      </w:tr>
      <w:tr w:rsidR="00DA6A01" w:rsidRPr="00D85472" w14:paraId="666A4562" w14:textId="77777777" w:rsidTr="00DB7ACB">
        <w:trPr>
          <w:trHeight w:val="300"/>
          <w:jc w:val="center"/>
        </w:trPr>
        <w:tc>
          <w:tcPr>
            <w:tcW w:w="1620" w:type="dxa"/>
            <w:tcBorders>
              <w:right w:val="single" w:sz="12" w:space="0" w:color="auto"/>
            </w:tcBorders>
            <w:shd w:val="clear" w:color="auto" w:fill="auto"/>
            <w:noWrap/>
            <w:vAlign w:val="bottom"/>
          </w:tcPr>
          <w:p w14:paraId="73D977BC"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PC</w:t>
            </w:r>
          </w:p>
        </w:tc>
        <w:tc>
          <w:tcPr>
            <w:tcW w:w="706" w:type="dxa"/>
            <w:tcBorders>
              <w:left w:val="single" w:sz="12" w:space="0" w:color="auto"/>
              <w:right w:val="single" w:sz="12" w:space="0" w:color="auto"/>
            </w:tcBorders>
            <w:shd w:val="clear" w:color="auto" w:fill="auto"/>
            <w:noWrap/>
            <w:vAlign w:val="center"/>
          </w:tcPr>
          <w:p w14:paraId="78D36672"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610E2D0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0.577777</w:t>
            </w:r>
          </w:p>
        </w:tc>
        <w:tc>
          <w:tcPr>
            <w:tcW w:w="1206" w:type="dxa"/>
            <w:tcBorders>
              <w:left w:val="single" w:sz="12" w:space="0" w:color="auto"/>
              <w:right w:val="single" w:sz="12" w:space="0" w:color="auto"/>
            </w:tcBorders>
            <w:shd w:val="clear" w:color="auto" w:fill="auto"/>
            <w:noWrap/>
            <w:vAlign w:val="center"/>
          </w:tcPr>
          <w:p w14:paraId="77E365D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0.722649</w:t>
            </w:r>
          </w:p>
        </w:tc>
        <w:tc>
          <w:tcPr>
            <w:tcW w:w="1151" w:type="dxa"/>
            <w:tcBorders>
              <w:left w:val="single" w:sz="12" w:space="0" w:color="auto"/>
              <w:right w:val="single" w:sz="12" w:space="0" w:color="auto"/>
            </w:tcBorders>
            <w:shd w:val="clear" w:color="auto" w:fill="auto"/>
            <w:noWrap/>
            <w:vAlign w:val="center"/>
          </w:tcPr>
          <w:p w14:paraId="69C7280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1857412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w:t>
            </w:r>
          </w:p>
        </w:tc>
      </w:tr>
      <w:tr w:rsidR="00DA6A01" w:rsidRPr="00D85472" w14:paraId="450DB22B" w14:textId="77777777" w:rsidTr="00DB7ACB">
        <w:trPr>
          <w:trHeight w:val="300"/>
          <w:jc w:val="center"/>
        </w:trPr>
        <w:tc>
          <w:tcPr>
            <w:tcW w:w="1620" w:type="dxa"/>
            <w:tcBorders>
              <w:right w:val="single" w:sz="12" w:space="0" w:color="auto"/>
            </w:tcBorders>
            <w:shd w:val="clear" w:color="auto" w:fill="auto"/>
            <w:noWrap/>
            <w:vAlign w:val="bottom"/>
          </w:tcPr>
          <w:p w14:paraId="15F4BBDD"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Walls</w:t>
            </w:r>
          </w:p>
        </w:tc>
        <w:tc>
          <w:tcPr>
            <w:tcW w:w="706" w:type="dxa"/>
            <w:tcBorders>
              <w:left w:val="single" w:sz="12" w:space="0" w:color="auto"/>
              <w:right w:val="single" w:sz="12" w:space="0" w:color="auto"/>
            </w:tcBorders>
            <w:shd w:val="clear" w:color="auto" w:fill="auto"/>
            <w:noWrap/>
            <w:vAlign w:val="center"/>
          </w:tcPr>
          <w:p w14:paraId="68D7B90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36E2B7D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0.888888</w:t>
            </w:r>
          </w:p>
        </w:tc>
        <w:tc>
          <w:tcPr>
            <w:tcW w:w="1206" w:type="dxa"/>
            <w:tcBorders>
              <w:left w:val="single" w:sz="12" w:space="0" w:color="auto"/>
              <w:right w:val="single" w:sz="12" w:space="0" w:color="auto"/>
            </w:tcBorders>
            <w:shd w:val="clear" w:color="auto" w:fill="auto"/>
            <w:noWrap/>
            <w:vAlign w:val="center"/>
          </w:tcPr>
          <w:p w14:paraId="32B3423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0.317821</w:t>
            </w:r>
          </w:p>
        </w:tc>
        <w:tc>
          <w:tcPr>
            <w:tcW w:w="1151" w:type="dxa"/>
            <w:tcBorders>
              <w:left w:val="single" w:sz="12" w:space="0" w:color="auto"/>
              <w:right w:val="single" w:sz="12" w:space="0" w:color="auto"/>
            </w:tcBorders>
            <w:shd w:val="clear" w:color="auto" w:fill="auto"/>
            <w:noWrap/>
            <w:vAlign w:val="center"/>
          </w:tcPr>
          <w:p w14:paraId="22011287"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1E307BE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19C82CF9" w14:textId="77777777" w:rsidTr="00DB7ACB">
        <w:trPr>
          <w:trHeight w:val="300"/>
          <w:jc w:val="center"/>
        </w:trPr>
        <w:tc>
          <w:tcPr>
            <w:tcW w:w="1620" w:type="dxa"/>
            <w:tcBorders>
              <w:right w:val="single" w:sz="12" w:space="0" w:color="auto"/>
            </w:tcBorders>
            <w:shd w:val="clear" w:color="auto" w:fill="auto"/>
            <w:noWrap/>
            <w:vAlign w:val="bottom"/>
          </w:tcPr>
          <w:p w14:paraId="3978FB61"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Roofs</w:t>
            </w:r>
          </w:p>
        </w:tc>
        <w:tc>
          <w:tcPr>
            <w:tcW w:w="706" w:type="dxa"/>
            <w:tcBorders>
              <w:left w:val="single" w:sz="12" w:space="0" w:color="auto"/>
              <w:right w:val="single" w:sz="12" w:space="0" w:color="auto"/>
            </w:tcBorders>
            <w:shd w:val="clear" w:color="auto" w:fill="auto"/>
            <w:noWrap/>
            <w:vAlign w:val="center"/>
          </w:tcPr>
          <w:p w14:paraId="71509752"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3BCA11E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0.888888</w:t>
            </w:r>
          </w:p>
        </w:tc>
        <w:tc>
          <w:tcPr>
            <w:tcW w:w="1206" w:type="dxa"/>
            <w:tcBorders>
              <w:left w:val="single" w:sz="12" w:space="0" w:color="auto"/>
              <w:right w:val="single" w:sz="12" w:space="0" w:color="auto"/>
            </w:tcBorders>
            <w:shd w:val="clear" w:color="auto" w:fill="auto"/>
            <w:noWrap/>
            <w:vAlign w:val="center"/>
          </w:tcPr>
          <w:p w14:paraId="521CF6E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0.317821</w:t>
            </w:r>
          </w:p>
        </w:tc>
        <w:tc>
          <w:tcPr>
            <w:tcW w:w="1151" w:type="dxa"/>
            <w:tcBorders>
              <w:left w:val="single" w:sz="12" w:space="0" w:color="auto"/>
              <w:right w:val="single" w:sz="12" w:space="0" w:color="auto"/>
            </w:tcBorders>
            <w:shd w:val="clear" w:color="auto" w:fill="auto"/>
            <w:noWrap/>
            <w:vAlign w:val="center"/>
          </w:tcPr>
          <w:p w14:paraId="3C39A42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0A5C80D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6E0C4607" w14:textId="77777777" w:rsidTr="00DB7ACB">
        <w:trPr>
          <w:trHeight w:val="300"/>
          <w:jc w:val="center"/>
        </w:trPr>
        <w:tc>
          <w:tcPr>
            <w:tcW w:w="1620" w:type="dxa"/>
            <w:tcBorders>
              <w:right w:val="single" w:sz="12" w:space="0" w:color="auto"/>
            </w:tcBorders>
            <w:shd w:val="clear" w:color="auto" w:fill="auto"/>
            <w:noWrap/>
            <w:vAlign w:val="bottom"/>
          </w:tcPr>
          <w:p w14:paraId="2F721703"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Winds</w:t>
            </w:r>
          </w:p>
        </w:tc>
        <w:tc>
          <w:tcPr>
            <w:tcW w:w="706" w:type="dxa"/>
            <w:tcBorders>
              <w:left w:val="single" w:sz="12" w:space="0" w:color="auto"/>
              <w:right w:val="single" w:sz="12" w:space="0" w:color="auto"/>
            </w:tcBorders>
            <w:shd w:val="clear" w:color="auto" w:fill="auto"/>
            <w:noWrap/>
            <w:vAlign w:val="center"/>
          </w:tcPr>
          <w:p w14:paraId="46E99DA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0B5258D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0.755555</w:t>
            </w:r>
          </w:p>
        </w:tc>
        <w:tc>
          <w:tcPr>
            <w:tcW w:w="1206" w:type="dxa"/>
            <w:tcBorders>
              <w:left w:val="single" w:sz="12" w:space="0" w:color="auto"/>
              <w:right w:val="single" w:sz="12" w:space="0" w:color="auto"/>
            </w:tcBorders>
            <w:shd w:val="clear" w:color="auto" w:fill="auto"/>
            <w:noWrap/>
            <w:vAlign w:val="center"/>
          </w:tcPr>
          <w:p w14:paraId="712771B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0.434613</w:t>
            </w:r>
          </w:p>
        </w:tc>
        <w:tc>
          <w:tcPr>
            <w:tcW w:w="1151" w:type="dxa"/>
            <w:tcBorders>
              <w:left w:val="single" w:sz="12" w:space="0" w:color="auto"/>
              <w:right w:val="single" w:sz="12" w:space="0" w:color="auto"/>
            </w:tcBorders>
            <w:shd w:val="clear" w:color="auto" w:fill="auto"/>
            <w:noWrap/>
            <w:vAlign w:val="center"/>
          </w:tcPr>
          <w:p w14:paraId="1142877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4053E88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2F56C74E" w14:textId="77777777" w:rsidTr="00DB7ACB">
        <w:trPr>
          <w:trHeight w:val="300"/>
          <w:jc w:val="center"/>
        </w:trPr>
        <w:tc>
          <w:tcPr>
            <w:tcW w:w="1620" w:type="dxa"/>
            <w:tcBorders>
              <w:right w:val="single" w:sz="12" w:space="0" w:color="auto"/>
            </w:tcBorders>
            <w:shd w:val="clear" w:color="auto" w:fill="auto"/>
            <w:noWrap/>
            <w:vAlign w:val="bottom"/>
          </w:tcPr>
          <w:p w14:paraId="67E76337"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Plinths</w:t>
            </w:r>
          </w:p>
        </w:tc>
        <w:tc>
          <w:tcPr>
            <w:tcW w:w="706" w:type="dxa"/>
            <w:tcBorders>
              <w:left w:val="single" w:sz="12" w:space="0" w:color="auto"/>
              <w:right w:val="single" w:sz="12" w:space="0" w:color="auto"/>
            </w:tcBorders>
            <w:shd w:val="clear" w:color="auto" w:fill="auto"/>
            <w:noWrap/>
            <w:vAlign w:val="center"/>
          </w:tcPr>
          <w:p w14:paraId="32D62BB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5D58EE0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0.444444</w:t>
            </w:r>
          </w:p>
        </w:tc>
        <w:tc>
          <w:tcPr>
            <w:tcW w:w="1206" w:type="dxa"/>
            <w:tcBorders>
              <w:left w:val="single" w:sz="12" w:space="0" w:color="auto"/>
              <w:right w:val="single" w:sz="12" w:space="0" w:color="auto"/>
            </w:tcBorders>
            <w:shd w:val="clear" w:color="auto" w:fill="auto"/>
            <w:noWrap/>
            <w:vAlign w:val="center"/>
          </w:tcPr>
          <w:p w14:paraId="37B0E38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0.502519</w:t>
            </w:r>
          </w:p>
        </w:tc>
        <w:tc>
          <w:tcPr>
            <w:tcW w:w="1151" w:type="dxa"/>
            <w:tcBorders>
              <w:left w:val="single" w:sz="12" w:space="0" w:color="auto"/>
              <w:right w:val="single" w:sz="12" w:space="0" w:color="auto"/>
            </w:tcBorders>
            <w:shd w:val="clear" w:color="auto" w:fill="auto"/>
            <w:noWrap/>
            <w:vAlign w:val="center"/>
          </w:tcPr>
          <w:p w14:paraId="181683F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32D1A29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41B16C43" w14:textId="77777777" w:rsidTr="00DB7ACB">
        <w:trPr>
          <w:trHeight w:val="300"/>
          <w:jc w:val="center"/>
        </w:trPr>
        <w:tc>
          <w:tcPr>
            <w:tcW w:w="1620" w:type="dxa"/>
            <w:tcBorders>
              <w:right w:val="single" w:sz="12" w:space="0" w:color="auto"/>
            </w:tcBorders>
            <w:shd w:val="clear" w:color="auto" w:fill="auto"/>
            <w:noWrap/>
            <w:vAlign w:val="bottom"/>
          </w:tcPr>
          <w:p w14:paraId="2F28D660"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Balcs</w:t>
            </w:r>
            <w:proofErr w:type="spellEnd"/>
          </w:p>
        </w:tc>
        <w:tc>
          <w:tcPr>
            <w:tcW w:w="706" w:type="dxa"/>
            <w:tcBorders>
              <w:left w:val="single" w:sz="12" w:space="0" w:color="auto"/>
              <w:right w:val="single" w:sz="12" w:space="0" w:color="auto"/>
            </w:tcBorders>
            <w:shd w:val="clear" w:color="auto" w:fill="auto"/>
            <w:noWrap/>
            <w:vAlign w:val="center"/>
          </w:tcPr>
          <w:p w14:paraId="4CB4EEF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543FC47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0.266666</w:t>
            </w:r>
          </w:p>
        </w:tc>
        <w:tc>
          <w:tcPr>
            <w:tcW w:w="1206" w:type="dxa"/>
            <w:tcBorders>
              <w:left w:val="single" w:sz="12" w:space="0" w:color="auto"/>
              <w:right w:val="single" w:sz="12" w:space="0" w:color="auto"/>
            </w:tcBorders>
            <w:shd w:val="clear" w:color="auto" w:fill="auto"/>
            <w:noWrap/>
            <w:vAlign w:val="center"/>
          </w:tcPr>
          <w:p w14:paraId="2D6090B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0.447214</w:t>
            </w:r>
          </w:p>
        </w:tc>
        <w:tc>
          <w:tcPr>
            <w:tcW w:w="1151" w:type="dxa"/>
            <w:tcBorders>
              <w:left w:val="single" w:sz="12" w:space="0" w:color="auto"/>
              <w:right w:val="single" w:sz="12" w:space="0" w:color="auto"/>
            </w:tcBorders>
            <w:shd w:val="clear" w:color="auto" w:fill="auto"/>
            <w:noWrap/>
            <w:vAlign w:val="center"/>
          </w:tcPr>
          <w:p w14:paraId="6C9CE95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5AB08A2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6E4AC350" w14:textId="77777777" w:rsidTr="00DB7ACB">
        <w:trPr>
          <w:trHeight w:val="300"/>
          <w:jc w:val="center"/>
        </w:trPr>
        <w:tc>
          <w:tcPr>
            <w:tcW w:w="1620" w:type="dxa"/>
            <w:tcBorders>
              <w:right w:val="single" w:sz="12" w:space="0" w:color="auto"/>
            </w:tcBorders>
            <w:shd w:val="clear" w:color="auto" w:fill="auto"/>
            <w:noWrap/>
            <w:vAlign w:val="bottom"/>
          </w:tcPr>
          <w:p w14:paraId="4E931B9C"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Cellars</w:t>
            </w:r>
          </w:p>
        </w:tc>
        <w:tc>
          <w:tcPr>
            <w:tcW w:w="706" w:type="dxa"/>
            <w:tcBorders>
              <w:left w:val="single" w:sz="12" w:space="0" w:color="auto"/>
              <w:right w:val="single" w:sz="12" w:space="0" w:color="auto"/>
            </w:tcBorders>
            <w:shd w:val="clear" w:color="auto" w:fill="auto"/>
            <w:noWrap/>
            <w:vAlign w:val="center"/>
          </w:tcPr>
          <w:p w14:paraId="7C96FE4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47A58BA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0.133333</w:t>
            </w:r>
          </w:p>
        </w:tc>
        <w:tc>
          <w:tcPr>
            <w:tcW w:w="1206" w:type="dxa"/>
            <w:tcBorders>
              <w:left w:val="single" w:sz="12" w:space="0" w:color="auto"/>
              <w:right w:val="single" w:sz="12" w:space="0" w:color="auto"/>
            </w:tcBorders>
            <w:shd w:val="clear" w:color="auto" w:fill="auto"/>
            <w:noWrap/>
            <w:vAlign w:val="center"/>
          </w:tcPr>
          <w:p w14:paraId="34EBB021"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0.343776</w:t>
            </w:r>
          </w:p>
        </w:tc>
        <w:tc>
          <w:tcPr>
            <w:tcW w:w="1151" w:type="dxa"/>
            <w:tcBorders>
              <w:left w:val="single" w:sz="12" w:space="0" w:color="auto"/>
              <w:right w:val="single" w:sz="12" w:space="0" w:color="auto"/>
            </w:tcBorders>
            <w:shd w:val="clear" w:color="auto" w:fill="auto"/>
            <w:noWrap/>
            <w:vAlign w:val="center"/>
          </w:tcPr>
          <w:p w14:paraId="50D0C4B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7418964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32D6DB14" w14:textId="77777777" w:rsidTr="00DB7ACB">
        <w:trPr>
          <w:trHeight w:val="300"/>
          <w:jc w:val="center"/>
        </w:trPr>
        <w:tc>
          <w:tcPr>
            <w:tcW w:w="1620" w:type="dxa"/>
            <w:tcBorders>
              <w:right w:val="single" w:sz="12" w:space="0" w:color="auto"/>
            </w:tcBorders>
            <w:shd w:val="clear" w:color="auto" w:fill="auto"/>
            <w:noWrap/>
            <w:vAlign w:val="bottom"/>
          </w:tcPr>
          <w:p w14:paraId="4533CEDF" w14:textId="77777777" w:rsidR="00DA6A01" w:rsidRPr="00D85472" w:rsidRDefault="00DA6A01" w:rsidP="00091EDC">
            <w:pPr>
              <w:spacing w:after="0" w:line="240" w:lineRule="auto"/>
              <w:rPr>
                <w:rFonts w:eastAsia="Times New Roman" w:cs="Times New Roman"/>
                <w:color w:val="000000"/>
                <w:sz w:val="20"/>
                <w:lang w:val="en-GB"/>
              </w:rPr>
            </w:pPr>
            <w:r w:rsidRPr="00D85472">
              <w:rPr>
                <w:rFonts w:eastAsia="Times New Roman" w:cs="Times New Roman"/>
                <w:color w:val="000000"/>
                <w:sz w:val="20"/>
                <w:lang w:val="en-GB"/>
              </w:rPr>
              <w:t>Others</w:t>
            </w:r>
          </w:p>
        </w:tc>
        <w:tc>
          <w:tcPr>
            <w:tcW w:w="706" w:type="dxa"/>
            <w:tcBorders>
              <w:left w:val="single" w:sz="12" w:space="0" w:color="auto"/>
              <w:right w:val="single" w:sz="12" w:space="0" w:color="auto"/>
            </w:tcBorders>
            <w:shd w:val="clear" w:color="auto" w:fill="auto"/>
            <w:noWrap/>
            <w:vAlign w:val="center"/>
          </w:tcPr>
          <w:p w14:paraId="6F940FC2"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1E2D820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0.333333</w:t>
            </w:r>
          </w:p>
        </w:tc>
        <w:tc>
          <w:tcPr>
            <w:tcW w:w="1206" w:type="dxa"/>
            <w:tcBorders>
              <w:left w:val="single" w:sz="12" w:space="0" w:color="auto"/>
              <w:right w:val="single" w:sz="12" w:space="0" w:color="auto"/>
            </w:tcBorders>
            <w:shd w:val="clear" w:color="auto" w:fill="auto"/>
            <w:noWrap/>
            <w:vAlign w:val="center"/>
          </w:tcPr>
          <w:p w14:paraId="52E15C5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0.476731</w:t>
            </w:r>
          </w:p>
        </w:tc>
        <w:tc>
          <w:tcPr>
            <w:tcW w:w="1151" w:type="dxa"/>
            <w:tcBorders>
              <w:left w:val="single" w:sz="12" w:space="0" w:color="auto"/>
              <w:right w:val="single" w:sz="12" w:space="0" w:color="auto"/>
            </w:tcBorders>
            <w:shd w:val="clear" w:color="auto" w:fill="auto"/>
            <w:noWrap/>
            <w:vAlign w:val="center"/>
          </w:tcPr>
          <w:p w14:paraId="2AA17397"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0EDC41D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40DBBFB4" w14:textId="77777777" w:rsidTr="00DB7ACB">
        <w:trPr>
          <w:trHeight w:val="300"/>
          <w:jc w:val="center"/>
        </w:trPr>
        <w:tc>
          <w:tcPr>
            <w:tcW w:w="1620" w:type="dxa"/>
            <w:tcBorders>
              <w:right w:val="single" w:sz="12" w:space="0" w:color="auto"/>
            </w:tcBorders>
            <w:shd w:val="clear" w:color="auto" w:fill="auto"/>
            <w:noWrap/>
            <w:vAlign w:val="bottom"/>
          </w:tcPr>
          <w:p w14:paraId="779F5F69"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ThrReg</w:t>
            </w:r>
            <w:proofErr w:type="spellEnd"/>
          </w:p>
        </w:tc>
        <w:tc>
          <w:tcPr>
            <w:tcW w:w="706" w:type="dxa"/>
            <w:tcBorders>
              <w:left w:val="single" w:sz="12" w:space="0" w:color="auto"/>
              <w:right w:val="single" w:sz="12" w:space="0" w:color="auto"/>
            </w:tcBorders>
            <w:shd w:val="clear" w:color="auto" w:fill="auto"/>
            <w:noWrap/>
            <w:vAlign w:val="center"/>
          </w:tcPr>
          <w:p w14:paraId="381C347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2D163DE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0.533333</w:t>
            </w:r>
          </w:p>
        </w:tc>
        <w:tc>
          <w:tcPr>
            <w:tcW w:w="1206" w:type="dxa"/>
            <w:tcBorders>
              <w:left w:val="single" w:sz="12" w:space="0" w:color="auto"/>
              <w:right w:val="single" w:sz="12" w:space="0" w:color="auto"/>
            </w:tcBorders>
            <w:shd w:val="clear" w:color="auto" w:fill="auto"/>
            <w:noWrap/>
            <w:vAlign w:val="center"/>
          </w:tcPr>
          <w:p w14:paraId="4951C459"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0.504525</w:t>
            </w:r>
          </w:p>
        </w:tc>
        <w:tc>
          <w:tcPr>
            <w:tcW w:w="1151" w:type="dxa"/>
            <w:tcBorders>
              <w:left w:val="single" w:sz="12" w:space="0" w:color="auto"/>
              <w:right w:val="single" w:sz="12" w:space="0" w:color="auto"/>
            </w:tcBorders>
            <w:shd w:val="clear" w:color="auto" w:fill="auto"/>
            <w:noWrap/>
            <w:vAlign w:val="center"/>
          </w:tcPr>
          <w:p w14:paraId="60E666B8"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0</w:t>
            </w:r>
          </w:p>
        </w:tc>
        <w:tc>
          <w:tcPr>
            <w:tcW w:w="1316" w:type="dxa"/>
            <w:tcBorders>
              <w:left w:val="single" w:sz="12" w:space="0" w:color="auto"/>
            </w:tcBorders>
            <w:shd w:val="clear" w:color="auto" w:fill="auto"/>
            <w:noWrap/>
            <w:vAlign w:val="center"/>
          </w:tcPr>
          <w:p w14:paraId="01FF794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w:t>
            </w:r>
          </w:p>
        </w:tc>
      </w:tr>
      <w:tr w:rsidR="00DA6A01" w:rsidRPr="00D85472" w14:paraId="1ACEC29B" w14:textId="77777777" w:rsidTr="00DB7ACB">
        <w:trPr>
          <w:trHeight w:val="300"/>
          <w:jc w:val="center"/>
        </w:trPr>
        <w:tc>
          <w:tcPr>
            <w:tcW w:w="1620" w:type="dxa"/>
            <w:tcBorders>
              <w:right w:val="single" w:sz="12" w:space="0" w:color="auto"/>
            </w:tcBorders>
            <w:shd w:val="clear" w:color="auto" w:fill="auto"/>
            <w:noWrap/>
            <w:vAlign w:val="bottom"/>
          </w:tcPr>
          <w:p w14:paraId="4956375B"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AltitudeHDD</w:t>
            </w:r>
            <w:proofErr w:type="spellEnd"/>
          </w:p>
        </w:tc>
        <w:tc>
          <w:tcPr>
            <w:tcW w:w="706" w:type="dxa"/>
            <w:tcBorders>
              <w:left w:val="single" w:sz="12" w:space="0" w:color="auto"/>
              <w:right w:val="single" w:sz="12" w:space="0" w:color="auto"/>
            </w:tcBorders>
            <w:shd w:val="clear" w:color="auto" w:fill="auto"/>
            <w:noWrap/>
            <w:vAlign w:val="center"/>
          </w:tcPr>
          <w:p w14:paraId="0B967C2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27265CD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361.6067</w:t>
            </w:r>
          </w:p>
        </w:tc>
        <w:tc>
          <w:tcPr>
            <w:tcW w:w="1206" w:type="dxa"/>
            <w:tcBorders>
              <w:left w:val="single" w:sz="12" w:space="0" w:color="auto"/>
              <w:right w:val="single" w:sz="12" w:space="0" w:color="auto"/>
            </w:tcBorders>
            <w:shd w:val="clear" w:color="auto" w:fill="auto"/>
            <w:noWrap/>
            <w:vAlign w:val="center"/>
          </w:tcPr>
          <w:p w14:paraId="05C5123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48.539</w:t>
            </w:r>
          </w:p>
        </w:tc>
        <w:tc>
          <w:tcPr>
            <w:tcW w:w="1151" w:type="dxa"/>
            <w:tcBorders>
              <w:left w:val="single" w:sz="12" w:space="0" w:color="auto"/>
              <w:right w:val="single" w:sz="12" w:space="0" w:color="auto"/>
            </w:tcBorders>
            <w:shd w:val="clear" w:color="auto" w:fill="auto"/>
            <w:noWrap/>
            <w:vAlign w:val="center"/>
          </w:tcPr>
          <w:p w14:paraId="74591EA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287</w:t>
            </w:r>
          </w:p>
        </w:tc>
        <w:tc>
          <w:tcPr>
            <w:tcW w:w="1316" w:type="dxa"/>
            <w:tcBorders>
              <w:left w:val="single" w:sz="12" w:space="0" w:color="auto"/>
            </w:tcBorders>
            <w:shd w:val="clear" w:color="auto" w:fill="auto"/>
            <w:noWrap/>
            <w:vAlign w:val="center"/>
          </w:tcPr>
          <w:p w14:paraId="19F9AF82"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561</w:t>
            </w:r>
          </w:p>
        </w:tc>
      </w:tr>
      <w:tr w:rsidR="00DA6A01" w:rsidRPr="00D85472" w14:paraId="0D6E77FE" w14:textId="77777777" w:rsidTr="00DB7ACB">
        <w:trPr>
          <w:trHeight w:val="300"/>
          <w:jc w:val="center"/>
        </w:trPr>
        <w:tc>
          <w:tcPr>
            <w:tcW w:w="1620" w:type="dxa"/>
            <w:tcBorders>
              <w:right w:val="single" w:sz="12" w:space="0" w:color="auto"/>
            </w:tcBorders>
            <w:shd w:val="clear" w:color="auto" w:fill="auto"/>
            <w:noWrap/>
            <w:vAlign w:val="bottom"/>
          </w:tcPr>
          <w:p w14:paraId="090C6684"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AltitudeDUOA</w:t>
            </w:r>
            <w:proofErr w:type="spellEnd"/>
          </w:p>
        </w:tc>
        <w:tc>
          <w:tcPr>
            <w:tcW w:w="706" w:type="dxa"/>
            <w:tcBorders>
              <w:left w:val="single" w:sz="12" w:space="0" w:color="auto"/>
              <w:right w:val="single" w:sz="12" w:space="0" w:color="auto"/>
            </w:tcBorders>
            <w:shd w:val="clear" w:color="auto" w:fill="auto"/>
            <w:noWrap/>
            <w:vAlign w:val="center"/>
          </w:tcPr>
          <w:p w14:paraId="3BC57DE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227B668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351.9222</w:t>
            </w:r>
          </w:p>
        </w:tc>
        <w:tc>
          <w:tcPr>
            <w:tcW w:w="1206" w:type="dxa"/>
            <w:tcBorders>
              <w:left w:val="single" w:sz="12" w:space="0" w:color="auto"/>
              <w:right w:val="single" w:sz="12" w:space="0" w:color="auto"/>
            </w:tcBorders>
            <w:shd w:val="clear" w:color="auto" w:fill="auto"/>
            <w:noWrap/>
            <w:vAlign w:val="center"/>
          </w:tcPr>
          <w:p w14:paraId="7319F71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56.96896</w:t>
            </w:r>
          </w:p>
        </w:tc>
        <w:tc>
          <w:tcPr>
            <w:tcW w:w="1151" w:type="dxa"/>
            <w:tcBorders>
              <w:left w:val="single" w:sz="12" w:space="0" w:color="auto"/>
              <w:right w:val="single" w:sz="12" w:space="0" w:color="auto"/>
            </w:tcBorders>
            <w:shd w:val="clear" w:color="auto" w:fill="auto"/>
            <w:noWrap/>
            <w:vAlign w:val="center"/>
          </w:tcPr>
          <w:p w14:paraId="46289B86"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230.8</w:t>
            </w:r>
          </w:p>
        </w:tc>
        <w:tc>
          <w:tcPr>
            <w:tcW w:w="1316" w:type="dxa"/>
            <w:tcBorders>
              <w:left w:val="single" w:sz="12" w:space="0" w:color="auto"/>
            </w:tcBorders>
            <w:shd w:val="clear" w:color="auto" w:fill="auto"/>
            <w:noWrap/>
            <w:vAlign w:val="center"/>
          </w:tcPr>
          <w:p w14:paraId="1EE334D4"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589.8</w:t>
            </w:r>
          </w:p>
        </w:tc>
      </w:tr>
      <w:tr w:rsidR="00DA6A01" w:rsidRPr="00D85472" w14:paraId="0B018C86" w14:textId="77777777" w:rsidTr="00DB7ACB">
        <w:trPr>
          <w:trHeight w:val="300"/>
          <w:jc w:val="center"/>
        </w:trPr>
        <w:tc>
          <w:tcPr>
            <w:tcW w:w="1620" w:type="dxa"/>
            <w:tcBorders>
              <w:right w:val="single" w:sz="12" w:space="0" w:color="auto"/>
            </w:tcBorders>
            <w:shd w:val="clear" w:color="auto" w:fill="auto"/>
            <w:noWrap/>
            <w:vAlign w:val="bottom"/>
          </w:tcPr>
          <w:p w14:paraId="61FE0FFB"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NumberFloors</w:t>
            </w:r>
            <w:proofErr w:type="spellEnd"/>
          </w:p>
        </w:tc>
        <w:tc>
          <w:tcPr>
            <w:tcW w:w="706" w:type="dxa"/>
            <w:tcBorders>
              <w:left w:val="single" w:sz="12" w:space="0" w:color="auto"/>
              <w:right w:val="single" w:sz="12" w:space="0" w:color="auto"/>
            </w:tcBorders>
            <w:shd w:val="clear" w:color="auto" w:fill="auto"/>
            <w:noWrap/>
            <w:vAlign w:val="center"/>
          </w:tcPr>
          <w:p w14:paraId="6AB7FFA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2FD8747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8.111111</w:t>
            </w:r>
          </w:p>
        </w:tc>
        <w:tc>
          <w:tcPr>
            <w:tcW w:w="1206" w:type="dxa"/>
            <w:tcBorders>
              <w:left w:val="single" w:sz="12" w:space="0" w:color="auto"/>
              <w:right w:val="single" w:sz="12" w:space="0" w:color="auto"/>
            </w:tcBorders>
            <w:shd w:val="clear" w:color="auto" w:fill="auto"/>
            <w:noWrap/>
            <w:vAlign w:val="center"/>
          </w:tcPr>
          <w:p w14:paraId="1DF943F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2.257303</w:t>
            </w:r>
          </w:p>
        </w:tc>
        <w:tc>
          <w:tcPr>
            <w:tcW w:w="1151" w:type="dxa"/>
            <w:tcBorders>
              <w:left w:val="single" w:sz="12" w:space="0" w:color="auto"/>
              <w:right w:val="single" w:sz="12" w:space="0" w:color="auto"/>
            </w:tcBorders>
            <w:shd w:val="clear" w:color="auto" w:fill="auto"/>
            <w:noWrap/>
            <w:vAlign w:val="center"/>
          </w:tcPr>
          <w:p w14:paraId="7EB20850"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w:t>
            </w:r>
          </w:p>
        </w:tc>
        <w:tc>
          <w:tcPr>
            <w:tcW w:w="1316" w:type="dxa"/>
            <w:tcBorders>
              <w:left w:val="single" w:sz="12" w:space="0" w:color="auto"/>
            </w:tcBorders>
            <w:shd w:val="clear" w:color="auto" w:fill="auto"/>
            <w:noWrap/>
            <w:vAlign w:val="center"/>
          </w:tcPr>
          <w:p w14:paraId="0EF5E93D"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12</w:t>
            </w:r>
          </w:p>
        </w:tc>
      </w:tr>
      <w:tr w:rsidR="00DA6A01" w:rsidRPr="00D85472" w14:paraId="4C00E779" w14:textId="77777777" w:rsidTr="00DB7ACB">
        <w:trPr>
          <w:trHeight w:val="300"/>
          <w:jc w:val="center"/>
        </w:trPr>
        <w:tc>
          <w:tcPr>
            <w:tcW w:w="1620" w:type="dxa"/>
            <w:tcBorders>
              <w:right w:val="single" w:sz="12" w:space="0" w:color="auto"/>
            </w:tcBorders>
            <w:shd w:val="clear" w:color="auto" w:fill="auto"/>
            <w:noWrap/>
            <w:vAlign w:val="bottom"/>
          </w:tcPr>
          <w:p w14:paraId="5578AF78"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NumberFlats</w:t>
            </w:r>
            <w:proofErr w:type="spellEnd"/>
          </w:p>
        </w:tc>
        <w:tc>
          <w:tcPr>
            <w:tcW w:w="706" w:type="dxa"/>
            <w:tcBorders>
              <w:left w:val="single" w:sz="12" w:space="0" w:color="auto"/>
              <w:right w:val="single" w:sz="12" w:space="0" w:color="auto"/>
            </w:tcBorders>
            <w:shd w:val="clear" w:color="auto" w:fill="auto"/>
            <w:noWrap/>
            <w:vAlign w:val="center"/>
          </w:tcPr>
          <w:p w14:paraId="11F070A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right w:val="single" w:sz="12" w:space="0" w:color="auto"/>
            </w:tcBorders>
            <w:shd w:val="clear" w:color="auto" w:fill="auto"/>
            <w:noWrap/>
            <w:vAlign w:val="center"/>
          </w:tcPr>
          <w:p w14:paraId="501F6DC5"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58.02222</w:t>
            </w:r>
          </w:p>
        </w:tc>
        <w:tc>
          <w:tcPr>
            <w:tcW w:w="1206" w:type="dxa"/>
            <w:tcBorders>
              <w:left w:val="single" w:sz="12" w:space="0" w:color="auto"/>
              <w:right w:val="single" w:sz="12" w:space="0" w:color="auto"/>
            </w:tcBorders>
            <w:shd w:val="clear" w:color="auto" w:fill="auto"/>
            <w:noWrap/>
            <w:vAlign w:val="center"/>
          </w:tcPr>
          <w:p w14:paraId="60C2FEFF"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39.21373</w:t>
            </w:r>
          </w:p>
        </w:tc>
        <w:tc>
          <w:tcPr>
            <w:tcW w:w="1151" w:type="dxa"/>
            <w:tcBorders>
              <w:left w:val="single" w:sz="12" w:space="0" w:color="auto"/>
              <w:right w:val="single" w:sz="12" w:space="0" w:color="auto"/>
            </w:tcBorders>
            <w:shd w:val="clear" w:color="auto" w:fill="auto"/>
            <w:noWrap/>
            <w:vAlign w:val="center"/>
          </w:tcPr>
          <w:p w14:paraId="33BD7413"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9</w:t>
            </w:r>
          </w:p>
        </w:tc>
        <w:tc>
          <w:tcPr>
            <w:tcW w:w="1316" w:type="dxa"/>
            <w:tcBorders>
              <w:left w:val="single" w:sz="12" w:space="0" w:color="auto"/>
            </w:tcBorders>
            <w:shd w:val="clear" w:color="auto" w:fill="auto"/>
            <w:noWrap/>
            <w:vAlign w:val="center"/>
          </w:tcPr>
          <w:p w14:paraId="061AC4EA"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180</w:t>
            </w:r>
          </w:p>
        </w:tc>
      </w:tr>
      <w:tr w:rsidR="00DA6A01" w:rsidRPr="00D85472" w14:paraId="6DCC7E08" w14:textId="77777777" w:rsidTr="00DB7ACB">
        <w:trPr>
          <w:trHeight w:val="300"/>
          <w:jc w:val="center"/>
        </w:trPr>
        <w:tc>
          <w:tcPr>
            <w:tcW w:w="1620" w:type="dxa"/>
            <w:tcBorders>
              <w:bottom w:val="single" w:sz="18" w:space="0" w:color="auto"/>
              <w:right w:val="single" w:sz="12" w:space="0" w:color="auto"/>
            </w:tcBorders>
            <w:shd w:val="clear" w:color="auto" w:fill="auto"/>
            <w:noWrap/>
            <w:vAlign w:val="bottom"/>
          </w:tcPr>
          <w:p w14:paraId="59BCFC13" w14:textId="77777777" w:rsidR="00DA6A01" w:rsidRPr="00D85472" w:rsidRDefault="00DA6A01" w:rsidP="00091EDC">
            <w:pPr>
              <w:spacing w:after="0" w:line="240" w:lineRule="auto"/>
              <w:rPr>
                <w:rFonts w:eastAsia="Times New Roman" w:cs="Times New Roman"/>
                <w:color w:val="000000"/>
                <w:sz w:val="20"/>
                <w:lang w:val="en-GB"/>
              </w:rPr>
            </w:pPr>
            <w:proofErr w:type="spellStart"/>
            <w:r w:rsidRPr="00D85472">
              <w:rPr>
                <w:rFonts w:eastAsia="Times New Roman" w:cs="Times New Roman"/>
                <w:color w:val="000000"/>
                <w:sz w:val="20"/>
                <w:lang w:val="en-GB"/>
              </w:rPr>
              <w:t>FloorArea</w:t>
            </w:r>
            <w:proofErr w:type="spellEnd"/>
          </w:p>
        </w:tc>
        <w:tc>
          <w:tcPr>
            <w:tcW w:w="706" w:type="dxa"/>
            <w:tcBorders>
              <w:left w:val="single" w:sz="12" w:space="0" w:color="auto"/>
              <w:right w:val="single" w:sz="12" w:space="0" w:color="auto"/>
            </w:tcBorders>
            <w:shd w:val="clear" w:color="auto" w:fill="auto"/>
            <w:noWrap/>
            <w:vAlign w:val="center"/>
          </w:tcPr>
          <w:p w14:paraId="421F4D0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45</w:t>
            </w:r>
          </w:p>
        </w:tc>
        <w:tc>
          <w:tcPr>
            <w:tcW w:w="1206" w:type="dxa"/>
            <w:tcBorders>
              <w:left w:val="single" w:sz="12" w:space="0" w:color="auto"/>
              <w:bottom w:val="single" w:sz="18" w:space="0" w:color="auto"/>
              <w:right w:val="single" w:sz="12" w:space="0" w:color="auto"/>
            </w:tcBorders>
            <w:shd w:val="clear" w:color="auto" w:fill="auto"/>
            <w:noWrap/>
            <w:vAlign w:val="center"/>
          </w:tcPr>
          <w:p w14:paraId="45DBD7FE"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3627.71</w:t>
            </w:r>
          </w:p>
        </w:tc>
        <w:tc>
          <w:tcPr>
            <w:tcW w:w="1206" w:type="dxa"/>
            <w:tcBorders>
              <w:left w:val="single" w:sz="12" w:space="0" w:color="auto"/>
              <w:right w:val="single" w:sz="12" w:space="0" w:color="auto"/>
            </w:tcBorders>
            <w:shd w:val="clear" w:color="auto" w:fill="auto"/>
            <w:noWrap/>
            <w:vAlign w:val="center"/>
          </w:tcPr>
          <w:p w14:paraId="1DFA172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2611.845</w:t>
            </w:r>
          </w:p>
        </w:tc>
        <w:tc>
          <w:tcPr>
            <w:tcW w:w="1151" w:type="dxa"/>
            <w:tcBorders>
              <w:left w:val="single" w:sz="12" w:space="0" w:color="auto"/>
              <w:bottom w:val="single" w:sz="18" w:space="0" w:color="auto"/>
              <w:right w:val="single" w:sz="12" w:space="0" w:color="auto"/>
            </w:tcBorders>
            <w:shd w:val="clear" w:color="auto" w:fill="auto"/>
            <w:noWrap/>
            <w:vAlign w:val="center"/>
          </w:tcPr>
          <w:p w14:paraId="1E57BC0B"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549.8</w:t>
            </w:r>
          </w:p>
        </w:tc>
        <w:tc>
          <w:tcPr>
            <w:tcW w:w="1316" w:type="dxa"/>
            <w:tcBorders>
              <w:left w:val="single" w:sz="12" w:space="0" w:color="auto"/>
            </w:tcBorders>
            <w:shd w:val="clear" w:color="auto" w:fill="auto"/>
            <w:noWrap/>
            <w:vAlign w:val="center"/>
          </w:tcPr>
          <w:p w14:paraId="26D5A94C" w14:textId="77777777" w:rsidR="00DA6A01" w:rsidRPr="00D85472" w:rsidRDefault="00DA6A01" w:rsidP="00091EDC">
            <w:pPr>
              <w:spacing w:after="0" w:line="240" w:lineRule="auto"/>
              <w:jc w:val="center"/>
              <w:rPr>
                <w:rFonts w:eastAsia="Times New Roman" w:cs="Times New Roman"/>
                <w:color w:val="000000"/>
                <w:sz w:val="20"/>
                <w:lang w:val="en-GB"/>
              </w:rPr>
            </w:pPr>
            <w:r w:rsidRPr="00D85472">
              <w:rPr>
                <w:rFonts w:eastAsia="Times New Roman" w:cs="Times New Roman"/>
                <w:color w:val="000000"/>
                <w:sz w:val="20"/>
                <w:lang w:val="en-GB"/>
              </w:rPr>
              <w:t>11498.25</w:t>
            </w:r>
          </w:p>
        </w:tc>
      </w:tr>
    </w:tbl>
    <w:p w14:paraId="1D8E298C" w14:textId="1F0AD842" w:rsidR="00D85472" w:rsidRPr="00D85472" w:rsidRDefault="00D85472">
      <w:pPr>
        <w:rPr>
          <w:lang w:val="en-GB"/>
        </w:rPr>
      </w:pPr>
      <w:r w:rsidRPr="00D85472">
        <w:rPr>
          <w:lang w:val="en-GB"/>
        </w:rPr>
        <w:br w:type="page"/>
      </w:r>
    </w:p>
    <w:p w14:paraId="4380C544" w14:textId="77777777" w:rsidR="00D85472" w:rsidRPr="00D85472" w:rsidRDefault="00D85472" w:rsidP="00D85472">
      <w:pPr>
        <w:pStyle w:val="Titulek"/>
        <w:spacing w:before="0" w:line="240" w:lineRule="auto"/>
        <w:jc w:val="left"/>
        <w:rPr>
          <w:rFonts w:asciiTheme="minorHAnsi" w:hAnsiTheme="minorHAnsi"/>
          <w:sz w:val="22"/>
          <w:szCs w:val="22"/>
          <w:lang w:val="en-GB"/>
        </w:rPr>
      </w:pPr>
      <w:r w:rsidRPr="00D85472">
        <w:rPr>
          <w:rFonts w:asciiTheme="minorHAnsi" w:hAnsiTheme="minorHAnsi"/>
          <w:sz w:val="22"/>
          <w:szCs w:val="22"/>
          <w:lang w:val="en-GB"/>
        </w:rPr>
        <w:t>Figure 1. Energy consumption before and after insulation</w:t>
      </w:r>
    </w:p>
    <w:p w14:paraId="3E1C8D62" w14:textId="77777777" w:rsidR="00D85472" w:rsidRPr="00D85472" w:rsidRDefault="00D85472" w:rsidP="00D85472">
      <w:pPr>
        <w:keepNext/>
        <w:spacing w:after="0" w:line="240" w:lineRule="auto"/>
        <w:jc w:val="center"/>
        <w:rPr>
          <w:lang w:val="en-GB"/>
        </w:rPr>
      </w:pPr>
      <w:r w:rsidRPr="00D85472">
        <w:rPr>
          <w:noProof/>
          <w:lang w:eastAsia="cs-CZ"/>
        </w:rPr>
        <w:drawing>
          <wp:inline distT="0" distB="0" distL="0" distR="0" wp14:anchorId="700CA35E" wp14:editId="2FE44BA1">
            <wp:extent cx="4566285" cy="291084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868AD9C" w14:textId="77777777" w:rsidR="00D85472" w:rsidRPr="00D85472" w:rsidRDefault="00D85472" w:rsidP="00D85472">
      <w:pPr>
        <w:pStyle w:val="Titulek"/>
        <w:spacing w:before="0" w:line="240" w:lineRule="auto"/>
        <w:jc w:val="left"/>
        <w:rPr>
          <w:rFonts w:asciiTheme="minorHAnsi" w:hAnsiTheme="minorHAnsi"/>
          <w:sz w:val="22"/>
          <w:szCs w:val="22"/>
          <w:lang w:val="en-GB"/>
        </w:rPr>
      </w:pPr>
      <w:bookmarkStart w:id="2" w:name="_Toc450765950"/>
    </w:p>
    <w:p w14:paraId="12D91EAE" w14:textId="77777777" w:rsidR="00D85472" w:rsidRPr="00D85472" w:rsidRDefault="00D85472" w:rsidP="00D85472">
      <w:pPr>
        <w:pStyle w:val="Titulek"/>
        <w:spacing w:before="0" w:line="240" w:lineRule="auto"/>
        <w:jc w:val="left"/>
        <w:rPr>
          <w:rFonts w:asciiTheme="minorHAnsi" w:hAnsiTheme="minorHAnsi"/>
          <w:sz w:val="22"/>
          <w:szCs w:val="22"/>
          <w:lang w:val="en-GB"/>
        </w:rPr>
      </w:pPr>
      <w:r w:rsidRPr="00D85472">
        <w:rPr>
          <w:rFonts w:asciiTheme="minorHAnsi" w:hAnsiTheme="minorHAnsi"/>
          <w:sz w:val="22"/>
          <w:szCs w:val="22"/>
          <w:lang w:val="en-GB"/>
        </w:rPr>
        <w:t>Figure 2</w:t>
      </w:r>
      <w:proofErr w:type="gramStart"/>
      <w:r w:rsidRPr="00D85472">
        <w:rPr>
          <w:rFonts w:asciiTheme="minorHAnsi" w:hAnsiTheme="minorHAnsi"/>
          <w:sz w:val="22"/>
          <w:szCs w:val="22"/>
          <w:lang w:val="en-GB"/>
        </w:rPr>
        <w:t>.-</w:t>
      </w:r>
      <w:proofErr w:type="gramEnd"/>
      <w:r w:rsidRPr="00D85472">
        <w:rPr>
          <w:rFonts w:asciiTheme="minorHAnsi" w:hAnsiTheme="minorHAnsi"/>
          <w:sz w:val="22"/>
          <w:szCs w:val="22"/>
          <w:lang w:val="en-GB"/>
        </w:rPr>
        <w:t xml:space="preserve"> Three year average of SECA before and after the insulation for each dwelling</w:t>
      </w:r>
      <w:bookmarkEnd w:id="2"/>
    </w:p>
    <w:p w14:paraId="2E7AA6FE" w14:textId="77777777" w:rsidR="00D85472" w:rsidRPr="00D85472" w:rsidRDefault="00D85472" w:rsidP="00D85472">
      <w:pPr>
        <w:spacing w:after="0" w:line="240" w:lineRule="auto"/>
        <w:rPr>
          <w:color w:val="000000"/>
          <w:lang w:val="en-GB"/>
        </w:rPr>
      </w:pPr>
    </w:p>
    <w:p w14:paraId="32653770" w14:textId="77777777" w:rsidR="00D85472" w:rsidRPr="00D85472" w:rsidRDefault="00D85472" w:rsidP="00D85472">
      <w:pPr>
        <w:keepNext/>
        <w:spacing w:after="0" w:line="240" w:lineRule="auto"/>
        <w:jc w:val="center"/>
        <w:rPr>
          <w:lang w:val="en-GB"/>
        </w:rPr>
      </w:pPr>
      <w:r w:rsidRPr="00D85472">
        <w:rPr>
          <w:noProof/>
          <w:lang w:eastAsia="cs-CZ"/>
        </w:rPr>
        <w:drawing>
          <wp:inline distT="0" distB="0" distL="0" distR="0" wp14:anchorId="64362A57" wp14:editId="0D03370E">
            <wp:extent cx="3747770" cy="277368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DDF1DA4" w14:textId="650E010F" w:rsidR="00D85472" w:rsidRPr="00D85472" w:rsidRDefault="00D85472">
      <w:pPr>
        <w:rPr>
          <w:lang w:val="en-GB"/>
        </w:rPr>
      </w:pPr>
      <w:r w:rsidRPr="00D85472">
        <w:rPr>
          <w:lang w:val="en-GB"/>
        </w:rPr>
        <w:br w:type="page"/>
      </w:r>
    </w:p>
    <w:p w14:paraId="654B911C" w14:textId="77777777" w:rsidR="00084A42" w:rsidRPr="00D85472" w:rsidRDefault="00084A42">
      <w:pPr>
        <w:rPr>
          <w:lang w:val="en-GB"/>
        </w:rPr>
      </w:pPr>
    </w:p>
    <w:tbl>
      <w:tblPr>
        <w:tblW w:w="7563" w:type="dxa"/>
        <w:jc w:val="center"/>
        <w:tblLayout w:type="fixed"/>
        <w:tblLook w:val="04A0" w:firstRow="1" w:lastRow="0" w:firstColumn="1" w:lastColumn="0" w:noHBand="0" w:noVBand="1"/>
      </w:tblPr>
      <w:tblGrid>
        <w:gridCol w:w="2330"/>
        <w:gridCol w:w="1366"/>
        <w:gridCol w:w="1289"/>
        <w:gridCol w:w="1289"/>
        <w:gridCol w:w="1289"/>
      </w:tblGrid>
      <w:tr w:rsidR="00084A42" w:rsidRPr="00D85472" w14:paraId="171C7F63" w14:textId="77777777" w:rsidTr="00DB7ACB">
        <w:trPr>
          <w:trHeight w:val="326"/>
          <w:jc w:val="center"/>
        </w:trPr>
        <w:tc>
          <w:tcPr>
            <w:tcW w:w="6274" w:type="dxa"/>
            <w:gridSpan w:val="4"/>
            <w:tcBorders>
              <w:top w:val="single" w:sz="18" w:space="0" w:color="auto"/>
              <w:left w:val="single" w:sz="18" w:space="0" w:color="auto"/>
              <w:bottom w:val="single" w:sz="12" w:space="0" w:color="auto"/>
              <w:right w:val="single" w:sz="18" w:space="0" w:color="auto"/>
            </w:tcBorders>
            <w:shd w:val="clear" w:color="auto" w:fill="auto"/>
            <w:noWrap/>
            <w:vAlign w:val="center"/>
          </w:tcPr>
          <w:p w14:paraId="33E19EB5"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Dependent variable: SECA</w:t>
            </w:r>
          </w:p>
        </w:tc>
        <w:tc>
          <w:tcPr>
            <w:tcW w:w="1289" w:type="dxa"/>
            <w:tcBorders>
              <w:top w:val="single" w:sz="18" w:space="0" w:color="auto"/>
              <w:left w:val="single" w:sz="12" w:space="0" w:color="auto"/>
              <w:bottom w:val="single" w:sz="12" w:space="0" w:color="auto"/>
              <w:right w:val="single" w:sz="18" w:space="0" w:color="auto"/>
            </w:tcBorders>
            <w:vAlign w:val="center"/>
          </w:tcPr>
          <w:p w14:paraId="71925D91" w14:textId="77777777" w:rsidR="00084A42" w:rsidRPr="00D85472" w:rsidRDefault="00084A42" w:rsidP="00DB7ACB">
            <w:pPr>
              <w:spacing w:after="0" w:line="240" w:lineRule="auto"/>
              <w:jc w:val="center"/>
              <w:rPr>
                <w:rFonts w:eastAsia="Times New Roman" w:cs="Times New Roman"/>
                <w:color w:val="000000"/>
                <w:sz w:val="20"/>
                <w:szCs w:val="20"/>
                <w:lang w:val="en-GB"/>
              </w:rPr>
            </w:pPr>
            <w:proofErr w:type="spellStart"/>
            <w:r w:rsidRPr="00D85472">
              <w:rPr>
                <w:rFonts w:eastAsia="Times New Roman" w:cs="Times New Roman"/>
                <w:color w:val="000000"/>
                <w:sz w:val="20"/>
                <w:szCs w:val="20"/>
                <w:lang w:val="en-GB"/>
              </w:rPr>
              <w:t>SECAind</w:t>
            </w:r>
            <w:proofErr w:type="spellEnd"/>
          </w:p>
        </w:tc>
      </w:tr>
      <w:tr w:rsidR="00084A42" w:rsidRPr="00D85472" w14:paraId="467A3CB2" w14:textId="77777777" w:rsidTr="00DB7ACB">
        <w:trPr>
          <w:trHeight w:val="326"/>
          <w:jc w:val="center"/>
        </w:trPr>
        <w:tc>
          <w:tcPr>
            <w:tcW w:w="2330" w:type="dxa"/>
            <w:tcBorders>
              <w:top w:val="single" w:sz="12" w:space="0" w:color="auto"/>
              <w:left w:val="single" w:sz="18" w:space="0" w:color="auto"/>
              <w:bottom w:val="single" w:sz="12" w:space="0" w:color="auto"/>
              <w:right w:val="single" w:sz="18" w:space="0" w:color="auto"/>
            </w:tcBorders>
            <w:shd w:val="clear" w:color="auto" w:fill="auto"/>
            <w:noWrap/>
            <w:vAlign w:val="center"/>
            <w:hideMark/>
          </w:tcPr>
          <w:p w14:paraId="3B4FA83F"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Independent variables</w:t>
            </w:r>
          </w:p>
        </w:tc>
        <w:tc>
          <w:tcPr>
            <w:tcW w:w="1366" w:type="dxa"/>
            <w:tcBorders>
              <w:top w:val="single" w:sz="12" w:space="0" w:color="auto"/>
              <w:left w:val="single" w:sz="18" w:space="0" w:color="auto"/>
              <w:bottom w:val="single" w:sz="12" w:space="0" w:color="auto"/>
              <w:right w:val="single" w:sz="18" w:space="0" w:color="auto"/>
            </w:tcBorders>
            <w:shd w:val="clear" w:color="auto" w:fill="auto"/>
            <w:noWrap/>
            <w:vAlign w:val="center"/>
            <w:hideMark/>
          </w:tcPr>
          <w:p w14:paraId="79F643F6"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1</w:t>
            </w:r>
          </w:p>
        </w:tc>
        <w:tc>
          <w:tcPr>
            <w:tcW w:w="1289" w:type="dxa"/>
            <w:tcBorders>
              <w:top w:val="single" w:sz="12" w:space="0" w:color="auto"/>
              <w:left w:val="single" w:sz="12" w:space="0" w:color="auto"/>
              <w:bottom w:val="single" w:sz="12" w:space="0" w:color="auto"/>
              <w:right w:val="single" w:sz="18" w:space="0" w:color="auto"/>
            </w:tcBorders>
            <w:vAlign w:val="center"/>
          </w:tcPr>
          <w:p w14:paraId="779A34B7" w14:textId="77777777" w:rsidR="00084A42" w:rsidRPr="00D85472" w:rsidRDefault="00084A42" w:rsidP="00DB7ACB">
            <w:pPr>
              <w:spacing w:after="0" w:line="240" w:lineRule="auto"/>
              <w:jc w:val="center"/>
              <w:rPr>
                <w:rFonts w:eastAsia="Times New Roman" w:cs="Times New Roman"/>
                <w:color w:val="000000"/>
                <w:lang w:val="en-GB"/>
              </w:rPr>
            </w:pPr>
            <w:r w:rsidRPr="00D85472">
              <w:rPr>
                <w:rFonts w:eastAsia="Times New Roman" w:cs="Times New Roman"/>
                <w:color w:val="000000"/>
                <w:sz w:val="20"/>
                <w:szCs w:val="20"/>
                <w:lang w:val="en-GB"/>
              </w:rPr>
              <w:t>Model 2</w:t>
            </w:r>
          </w:p>
        </w:tc>
        <w:tc>
          <w:tcPr>
            <w:tcW w:w="1289" w:type="dxa"/>
            <w:tcBorders>
              <w:top w:val="single" w:sz="12" w:space="0" w:color="auto"/>
              <w:left w:val="single" w:sz="12" w:space="0" w:color="auto"/>
              <w:bottom w:val="single" w:sz="12" w:space="0" w:color="auto"/>
              <w:right w:val="single" w:sz="18" w:space="0" w:color="auto"/>
            </w:tcBorders>
            <w:vAlign w:val="center"/>
          </w:tcPr>
          <w:p w14:paraId="71E55686"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2b</w:t>
            </w:r>
          </w:p>
        </w:tc>
        <w:tc>
          <w:tcPr>
            <w:tcW w:w="1289" w:type="dxa"/>
            <w:tcBorders>
              <w:top w:val="single" w:sz="12" w:space="0" w:color="auto"/>
              <w:left w:val="single" w:sz="12" w:space="0" w:color="auto"/>
              <w:bottom w:val="single" w:sz="12" w:space="0" w:color="auto"/>
              <w:right w:val="single" w:sz="18" w:space="0" w:color="auto"/>
            </w:tcBorders>
            <w:vAlign w:val="center"/>
          </w:tcPr>
          <w:p w14:paraId="0635513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1b</w:t>
            </w:r>
          </w:p>
        </w:tc>
      </w:tr>
      <w:tr w:rsidR="00084A42" w:rsidRPr="00D85472" w14:paraId="7B9F9BCA" w14:textId="77777777" w:rsidTr="00DB7ACB">
        <w:trPr>
          <w:trHeight w:val="326"/>
          <w:jc w:val="center"/>
        </w:trPr>
        <w:tc>
          <w:tcPr>
            <w:tcW w:w="2330" w:type="dxa"/>
            <w:tcBorders>
              <w:top w:val="nil"/>
              <w:left w:val="single" w:sz="18" w:space="0" w:color="auto"/>
              <w:bottom w:val="nil"/>
              <w:right w:val="single" w:sz="18" w:space="0" w:color="auto"/>
            </w:tcBorders>
            <w:shd w:val="clear" w:color="auto" w:fill="auto"/>
            <w:noWrap/>
            <w:vAlign w:val="center"/>
          </w:tcPr>
          <w:p w14:paraId="5A77409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Constant</w:t>
            </w:r>
          </w:p>
        </w:tc>
        <w:tc>
          <w:tcPr>
            <w:tcW w:w="1366" w:type="dxa"/>
            <w:tcBorders>
              <w:top w:val="nil"/>
              <w:left w:val="single" w:sz="18" w:space="0" w:color="auto"/>
              <w:bottom w:val="nil"/>
              <w:right w:val="single" w:sz="18" w:space="0" w:color="auto"/>
            </w:tcBorders>
            <w:shd w:val="clear" w:color="auto" w:fill="auto"/>
            <w:noWrap/>
            <w:vAlign w:val="center"/>
          </w:tcPr>
          <w:p w14:paraId="2BF5EF7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.3766753***</w:t>
            </w:r>
          </w:p>
        </w:tc>
        <w:tc>
          <w:tcPr>
            <w:tcW w:w="1289" w:type="dxa"/>
            <w:tcBorders>
              <w:top w:val="nil"/>
              <w:left w:val="single" w:sz="12" w:space="0" w:color="auto"/>
              <w:bottom w:val="nil"/>
              <w:right w:val="single" w:sz="18" w:space="0" w:color="auto"/>
            </w:tcBorders>
            <w:vAlign w:val="center"/>
          </w:tcPr>
          <w:p w14:paraId="14EFB54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.3766753***</w:t>
            </w:r>
          </w:p>
        </w:tc>
        <w:tc>
          <w:tcPr>
            <w:tcW w:w="1289" w:type="dxa"/>
            <w:tcBorders>
              <w:top w:val="nil"/>
              <w:left w:val="single" w:sz="12" w:space="0" w:color="auto"/>
              <w:bottom w:val="nil"/>
              <w:right w:val="single" w:sz="18" w:space="0" w:color="auto"/>
            </w:tcBorders>
            <w:vAlign w:val="center"/>
          </w:tcPr>
          <w:p w14:paraId="4B0ABFA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.3766753***</w:t>
            </w:r>
          </w:p>
        </w:tc>
        <w:tc>
          <w:tcPr>
            <w:tcW w:w="1289" w:type="dxa"/>
            <w:tcBorders>
              <w:top w:val="nil"/>
              <w:left w:val="single" w:sz="12" w:space="0" w:color="auto"/>
              <w:bottom w:val="nil"/>
              <w:right w:val="single" w:sz="18" w:space="0" w:color="auto"/>
            </w:tcBorders>
            <w:vAlign w:val="center"/>
          </w:tcPr>
          <w:p w14:paraId="76677FD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.9816114***</w:t>
            </w:r>
          </w:p>
        </w:tc>
      </w:tr>
      <w:tr w:rsidR="00084A42" w:rsidRPr="00D85472" w14:paraId="351F6619" w14:textId="77777777" w:rsidTr="00DB7ACB">
        <w:trPr>
          <w:trHeight w:val="326"/>
          <w:jc w:val="center"/>
        </w:trPr>
        <w:tc>
          <w:tcPr>
            <w:tcW w:w="2330" w:type="dxa"/>
            <w:tcBorders>
              <w:top w:val="nil"/>
              <w:left w:val="single" w:sz="18" w:space="0" w:color="auto"/>
              <w:bottom w:val="nil"/>
              <w:right w:val="single" w:sz="18" w:space="0" w:color="auto"/>
            </w:tcBorders>
            <w:shd w:val="clear" w:color="auto" w:fill="auto"/>
            <w:noWrap/>
            <w:vAlign w:val="center"/>
          </w:tcPr>
          <w:p w14:paraId="35288201"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366" w:type="dxa"/>
            <w:tcBorders>
              <w:top w:val="nil"/>
              <w:left w:val="single" w:sz="18" w:space="0" w:color="auto"/>
              <w:bottom w:val="nil"/>
              <w:right w:val="single" w:sz="18" w:space="0" w:color="auto"/>
            </w:tcBorders>
            <w:shd w:val="clear" w:color="auto" w:fill="auto"/>
            <w:noWrap/>
            <w:vAlign w:val="center"/>
          </w:tcPr>
          <w:p w14:paraId="6E10304F"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(.0036877)</w:t>
            </w:r>
          </w:p>
        </w:tc>
        <w:tc>
          <w:tcPr>
            <w:tcW w:w="1289" w:type="dxa"/>
            <w:tcBorders>
              <w:top w:val="nil"/>
              <w:left w:val="single" w:sz="12" w:space="0" w:color="auto"/>
              <w:bottom w:val="nil"/>
              <w:right w:val="single" w:sz="18" w:space="0" w:color="auto"/>
            </w:tcBorders>
            <w:vAlign w:val="center"/>
          </w:tcPr>
          <w:p w14:paraId="7E1A3FA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(.0045857)</w:t>
            </w:r>
          </w:p>
        </w:tc>
        <w:tc>
          <w:tcPr>
            <w:tcW w:w="1289" w:type="dxa"/>
            <w:tcBorders>
              <w:top w:val="nil"/>
              <w:left w:val="single" w:sz="12" w:space="0" w:color="auto"/>
              <w:bottom w:val="nil"/>
              <w:right w:val="single" w:sz="18" w:space="0" w:color="auto"/>
            </w:tcBorders>
            <w:vAlign w:val="center"/>
          </w:tcPr>
          <w:p w14:paraId="50080A4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(.0045943)</w:t>
            </w:r>
          </w:p>
        </w:tc>
        <w:tc>
          <w:tcPr>
            <w:tcW w:w="1289" w:type="dxa"/>
            <w:tcBorders>
              <w:top w:val="nil"/>
              <w:left w:val="single" w:sz="12" w:space="0" w:color="auto"/>
              <w:bottom w:val="nil"/>
              <w:right w:val="single" w:sz="18" w:space="0" w:color="auto"/>
            </w:tcBorders>
            <w:vAlign w:val="center"/>
          </w:tcPr>
          <w:p w14:paraId="5F7F63A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.0082614</w:t>
            </w:r>
          </w:p>
        </w:tc>
      </w:tr>
      <w:tr w:rsidR="00084A42" w:rsidRPr="00D85472" w14:paraId="68BA19DF" w14:textId="77777777" w:rsidTr="00DB7ACB">
        <w:trPr>
          <w:trHeight w:val="326"/>
          <w:jc w:val="center"/>
        </w:trPr>
        <w:tc>
          <w:tcPr>
            <w:tcW w:w="2330" w:type="dxa"/>
            <w:tcBorders>
              <w:top w:val="nil"/>
              <w:left w:val="single" w:sz="18" w:space="0" w:color="auto"/>
              <w:bottom w:val="nil"/>
              <w:right w:val="single" w:sz="18" w:space="0" w:color="auto"/>
            </w:tcBorders>
            <w:shd w:val="clear" w:color="auto" w:fill="auto"/>
            <w:noWrap/>
            <w:vAlign w:val="center"/>
            <w:hideMark/>
          </w:tcPr>
          <w:p w14:paraId="109C91CB"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PROJECT</w:t>
            </w:r>
          </w:p>
        </w:tc>
        <w:tc>
          <w:tcPr>
            <w:tcW w:w="1366" w:type="dxa"/>
            <w:tcBorders>
              <w:top w:val="nil"/>
              <w:left w:val="single" w:sz="18" w:space="0" w:color="auto"/>
              <w:bottom w:val="nil"/>
              <w:right w:val="single" w:sz="18" w:space="0" w:color="auto"/>
            </w:tcBorders>
            <w:shd w:val="clear" w:color="auto" w:fill="auto"/>
            <w:noWrap/>
            <w:vAlign w:val="center"/>
          </w:tcPr>
          <w:p w14:paraId="6191E1E0"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-.135415***</w:t>
            </w:r>
          </w:p>
        </w:tc>
        <w:tc>
          <w:tcPr>
            <w:tcW w:w="1289" w:type="dxa"/>
            <w:tcBorders>
              <w:top w:val="nil"/>
              <w:left w:val="single" w:sz="12" w:space="0" w:color="auto"/>
              <w:bottom w:val="nil"/>
              <w:right w:val="single" w:sz="18" w:space="0" w:color="auto"/>
            </w:tcBorders>
            <w:vAlign w:val="center"/>
          </w:tcPr>
          <w:p w14:paraId="3493330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-.131506***</w:t>
            </w:r>
          </w:p>
        </w:tc>
        <w:tc>
          <w:tcPr>
            <w:tcW w:w="1289" w:type="dxa"/>
            <w:tcBorders>
              <w:top w:val="nil"/>
              <w:left w:val="single" w:sz="12" w:space="0" w:color="auto"/>
              <w:bottom w:val="nil"/>
              <w:right w:val="single" w:sz="18" w:space="0" w:color="auto"/>
            </w:tcBorders>
            <w:vAlign w:val="center"/>
          </w:tcPr>
          <w:p w14:paraId="0E18850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-.130389***</w:t>
            </w:r>
          </w:p>
        </w:tc>
        <w:tc>
          <w:tcPr>
            <w:tcW w:w="1289" w:type="dxa"/>
            <w:tcBorders>
              <w:top w:val="nil"/>
              <w:left w:val="single" w:sz="12" w:space="0" w:color="auto"/>
              <w:bottom w:val="nil"/>
              <w:right w:val="single" w:sz="18" w:space="0" w:color="auto"/>
            </w:tcBorders>
            <w:vAlign w:val="center"/>
          </w:tcPr>
          <w:p w14:paraId="5DB44B50"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-.350125***</w:t>
            </w:r>
          </w:p>
        </w:tc>
      </w:tr>
      <w:tr w:rsidR="00084A42" w:rsidRPr="00D85472" w14:paraId="0819A3FE" w14:textId="77777777" w:rsidTr="00DB7ACB">
        <w:trPr>
          <w:trHeight w:val="326"/>
          <w:jc w:val="center"/>
        </w:trPr>
        <w:tc>
          <w:tcPr>
            <w:tcW w:w="2330" w:type="dxa"/>
            <w:tcBorders>
              <w:top w:val="nil"/>
              <w:left w:val="single" w:sz="18" w:space="0" w:color="auto"/>
              <w:right w:val="single" w:sz="18" w:space="0" w:color="auto"/>
            </w:tcBorders>
            <w:shd w:val="clear" w:color="auto" w:fill="auto"/>
            <w:noWrap/>
            <w:vAlign w:val="center"/>
            <w:hideMark/>
          </w:tcPr>
          <w:p w14:paraId="467F69BC"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 </w:t>
            </w:r>
          </w:p>
        </w:tc>
        <w:tc>
          <w:tcPr>
            <w:tcW w:w="1366" w:type="dxa"/>
            <w:tcBorders>
              <w:top w:val="nil"/>
              <w:left w:val="single" w:sz="18" w:space="0" w:color="auto"/>
              <w:right w:val="single" w:sz="18" w:space="0" w:color="auto"/>
            </w:tcBorders>
            <w:shd w:val="clear" w:color="auto" w:fill="auto"/>
            <w:noWrap/>
            <w:vAlign w:val="center"/>
          </w:tcPr>
          <w:p w14:paraId="2108367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(.0091543)</w:t>
            </w:r>
          </w:p>
        </w:tc>
        <w:tc>
          <w:tcPr>
            <w:tcW w:w="1289" w:type="dxa"/>
            <w:tcBorders>
              <w:top w:val="nil"/>
              <w:left w:val="single" w:sz="12" w:space="0" w:color="auto"/>
              <w:right w:val="single" w:sz="18" w:space="0" w:color="auto"/>
            </w:tcBorders>
            <w:vAlign w:val="center"/>
          </w:tcPr>
          <w:p w14:paraId="531DBBD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(.0109738)</w:t>
            </w:r>
          </w:p>
        </w:tc>
        <w:tc>
          <w:tcPr>
            <w:tcW w:w="1289" w:type="dxa"/>
            <w:tcBorders>
              <w:top w:val="nil"/>
              <w:left w:val="single" w:sz="12" w:space="0" w:color="auto"/>
              <w:right w:val="single" w:sz="18" w:space="0" w:color="auto"/>
            </w:tcBorders>
            <w:vAlign w:val="center"/>
          </w:tcPr>
          <w:p w14:paraId="36BCB7D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(.0096333)</w:t>
            </w:r>
          </w:p>
        </w:tc>
        <w:tc>
          <w:tcPr>
            <w:tcW w:w="1289" w:type="dxa"/>
            <w:tcBorders>
              <w:top w:val="nil"/>
              <w:left w:val="single" w:sz="12" w:space="0" w:color="auto"/>
              <w:right w:val="single" w:sz="18" w:space="0" w:color="auto"/>
            </w:tcBorders>
            <w:vAlign w:val="center"/>
          </w:tcPr>
          <w:p w14:paraId="00E5B9E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(.0165228)</w:t>
            </w:r>
          </w:p>
        </w:tc>
      </w:tr>
      <w:tr w:rsidR="00084A42" w:rsidRPr="00D85472" w14:paraId="7F5883F0" w14:textId="77777777" w:rsidTr="00DB7ACB">
        <w:trPr>
          <w:trHeight w:val="326"/>
          <w:jc w:val="center"/>
        </w:trPr>
        <w:tc>
          <w:tcPr>
            <w:tcW w:w="2330" w:type="dxa"/>
            <w:tcBorders>
              <w:top w:val="nil"/>
              <w:left w:val="single" w:sz="18" w:space="0" w:color="auto"/>
              <w:right w:val="single" w:sz="18" w:space="0" w:color="auto"/>
            </w:tcBorders>
            <w:shd w:val="clear" w:color="auto" w:fill="auto"/>
            <w:noWrap/>
            <w:vAlign w:val="center"/>
            <w:hideMark/>
          </w:tcPr>
          <w:p w14:paraId="5AB50F4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Learning</w:t>
            </w:r>
          </w:p>
        </w:tc>
        <w:tc>
          <w:tcPr>
            <w:tcW w:w="1366" w:type="dxa"/>
            <w:tcBorders>
              <w:top w:val="nil"/>
              <w:left w:val="single" w:sz="18" w:space="0" w:color="auto"/>
              <w:right w:val="single" w:sz="18" w:space="0" w:color="auto"/>
            </w:tcBorders>
            <w:shd w:val="clear" w:color="auto" w:fill="auto"/>
            <w:noWrap/>
            <w:vAlign w:val="center"/>
            <w:hideMark/>
          </w:tcPr>
          <w:p w14:paraId="6F18117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top w:val="nil"/>
              <w:left w:val="single" w:sz="12" w:space="0" w:color="auto"/>
              <w:right w:val="single" w:sz="18" w:space="0" w:color="auto"/>
            </w:tcBorders>
            <w:vAlign w:val="center"/>
          </w:tcPr>
          <w:p w14:paraId="0963BFC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-.0019546</w:t>
            </w:r>
          </w:p>
        </w:tc>
        <w:tc>
          <w:tcPr>
            <w:tcW w:w="1289" w:type="dxa"/>
            <w:tcBorders>
              <w:top w:val="nil"/>
              <w:left w:val="single" w:sz="12" w:space="0" w:color="auto"/>
              <w:right w:val="single" w:sz="18" w:space="0" w:color="auto"/>
            </w:tcBorders>
            <w:vAlign w:val="center"/>
          </w:tcPr>
          <w:p w14:paraId="52C1075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top w:val="nil"/>
              <w:left w:val="single" w:sz="12" w:space="0" w:color="auto"/>
              <w:right w:val="single" w:sz="18" w:space="0" w:color="auto"/>
            </w:tcBorders>
            <w:vAlign w:val="center"/>
          </w:tcPr>
          <w:p w14:paraId="52436A7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17BF9A45" w14:textId="77777777" w:rsidTr="00DB7ACB">
        <w:trPr>
          <w:trHeight w:val="326"/>
          <w:jc w:val="center"/>
        </w:trPr>
        <w:tc>
          <w:tcPr>
            <w:tcW w:w="2330" w:type="dxa"/>
            <w:tcBorders>
              <w:left w:val="single" w:sz="18" w:space="0" w:color="auto"/>
              <w:right w:val="single" w:sz="18" w:space="0" w:color="auto"/>
            </w:tcBorders>
            <w:shd w:val="clear" w:color="auto" w:fill="auto"/>
            <w:noWrap/>
            <w:vAlign w:val="center"/>
            <w:hideMark/>
          </w:tcPr>
          <w:p w14:paraId="01CA822E"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366" w:type="dxa"/>
            <w:tcBorders>
              <w:left w:val="single" w:sz="18" w:space="0" w:color="auto"/>
              <w:right w:val="single" w:sz="18" w:space="0" w:color="auto"/>
            </w:tcBorders>
            <w:shd w:val="clear" w:color="auto" w:fill="auto"/>
            <w:noWrap/>
            <w:vAlign w:val="center"/>
            <w:hideMark/>
          </w:tcPr>
          <w:p w14:paraId="50F0D91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42C4C13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(.0030687)</w:t>
            </w:r>
          </w:p>
        </w:tc>
        <w:tc>
          <w:tcPr>
            <w:tcW w:w="1289" w:type="dxa"/>
            <w:tcBorders>
              <w:left w:val="single" w:sz="12" w:space="0" w:color="auto"/>
              <w:right w:val="single" w:sz="18" w:space="0" w:color="auto"/>
            </w:tcBorders>
            <w:vAlign w:val="center"/>
          </w:tcPr>
          <w:p w14:paraId="1135298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3F86217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1148A107" w14:textId="77777777" w:rsidTr="00DB7ACB">
        <w:trPr>
          <w:trHeight w:val="326"/>
          <w:jc w:val="center"/>
        </w:trPr>
        <w:tc>
          <w:tcPr>
            <w:tcW w:w="2330" w:type="dxa"/>
            <w:tcBorders>
              <w:left w:val="single" w:sz="18" w:space="0" w:color="auto"/>
              <w:right w:val="single" w:sz="18" w:space="0" w:color="auto"/>
            </w:tcBorders>
            <w:shd w:val="clear" w:color="auto" w:fill="auto"/>
            <w:noWrap/>
            <w:vAlign w:val="center"/>
          </w:tcPr>
          <w:p w14:paraId="2C8E0516"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Learning2</w:t>
            </w:r>
          </w:p>
        </w:tc>
        <w:tc>
          <w:tcPr>
            <w:tcW w:w="1366" w:type="dxa"/>
            <w:tcBorders>
              <w:left w:val="single" w:sz="18" w:space="0" w:color="auto"/>
              <w:right w:val="single" w:sz="18" w:space="0" w:color="auto"/>
            </w:tcBorders>
            <w:shd w:val="clear" w:color="auto" w:fill="auto"/>
            <w:noWrap/>
            <w:vAlign w:val="center"/>
          </w:tcPr>
          <w:p w14:paraId="5F65E36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62D29C8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44CC796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-.011168**</w:t>
            </w:r>
          </w:p>
        </w:tc>
        <w:tc>
          <w:tcPr>
            <w:tcW w:w="1289" w:type="dxa"/>
            <w:tcBorders>
              <w:left w:val="single" w:sz="12" w:space="0" w:color="auto"/>
              <w:right w:val="single" w:sz="18" w:space="0" w:color="auto"/>
            </w:tcBorders>
            <w:vAlign w:val="center"/>
          </w:tcPr>
          <w:p w14:paraId="735B513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6F46AA9B" w14:textId="77777777" w:rsidTr="00DB7ACB">
        <w:trPr>
          <w:trHeight w:val="326"/>
          <w:jc w:val="center"/>
        </w:trPr>
        <w:tc>
          <w:tcPr>
            <w:tcW w:w="2330" w:type="dxa"/>
            <w:tcBorders>
              <w:left w:val="single" w:sz="18" w:space="0" w:color="auto"/>
              <w:right w:val="single" w:sz="18" w:space="0" w:color="auto"/>
            </w:tcBorders>
            <w:shd w:val="clear" w:color="auto" w:fill="auto"/>
            <w:noWrap/>
            <w:vAlign w:val="center"/>
          </w:tcPr>
          <w:p w14:paraId="2A56336E"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366" w:type="dxa"/>
            <w:tcBorders>
              <w:left w:val="single" w:sz="18" w:space="0" w:color="auto"/>
              <w:right w:val="single" w:sz="18" w:space="0" w:color="auto"/>
            </w:tcBorders>
            <w:shd w:val="clear" w:color="auto" w:fill="auto"/>
            <w:noWrap/>
            <w:vAlign w:val="center"/>
          </w:tcPr>
          <w:p w14:paraId="47FFCB0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3B1D34C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6A7F3AB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(.0045434)</w:t>
            </w:r>
          </w:p>
        </w:tc>
        <w:tc>
          <w:tcPr>
            <w:tcW w:w="1289" w:type="dxa"/>
            <w:tcBorders>
              <w:left w:val="single" w:sz="12" w:space="0" w:color="auto"/>
              <w:right w:val="single" w:sz="18" w:space="0" w:color="auto"/>
            </w:tcBorders>
            <w:vAlign w:val="center"/>
          </w:tcPr>
          <w:p w14:paraId="2DFD738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23FDC2B4" w14:textId="77777777" w:rsidTr="00DB7ACB">
        <w:trPr>
          <w:trHeight w:val="326"/>
          <w:jc w:val="center"/>
        </w:trPr>
        <w:tc>
          <w:tcPr>
            <w:tcW w:w="2330" w:type="dxa"/>
            <w:tcBorders>
              <w:left w:val="single" w:sz="18" w:space="0" w:color="auto"/>
              <w:right w:val="single" w:sz="18" w:space="0" w:color="auto"/>
            </w:tcBorders>
            <w:shd w:val="clear" w:color="auto" w:fill="auto"/>
            <w:noWrap/>
            <w:vAlign w:val="center"/>
          </w:tcPr>
          <w:p w14:paraId="050BF9F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Learning3</w:t>
            </w:r>
          </w:p>
        </w:tc>
        <w:tc>
          <w:tcPr>
            <w:tcW w:w="1366" w:type="dxa"/>
            <w:tcBorders>
              <w:left w:val="single" w:sz="18" w:space="0" w:color="auto"/>
              <w:right w:val="single" w:sz="18" w:space="0" w:color="auto"/>
            </w:tcBorders>
            <w:shd w:val="clear" w:color="auto" w:fill="auto"/>
            <w:noWrap/>
            <w:vAlign w:val="center"/>
          </w:tcPr>
          <w:p w14:paraId="378143B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7510565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0ECC452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-.0039092</w:t>
            </w:r>
          </w:p>
        </w:tc>
        <w:tc>
          <w:tcPr>
            <w:tcW w:w="1289" w:type="dxa"/>
            <w:tcBorders>
              <w:left w:val="single" w:sz="12" w:space="0" w:color="auto"/>
              <w:right w:val="single" w:sz="18" w:space="0" w:color="auto"/>
            </w:tcBorders>
            <w:vAlign w:val="center"/>
          </w:tcPr>
          <w:p w14:paraId="4D85E06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401D542B" w14:textId="77777777" w:rsidTr="00DB7ACB">
        <w:trPr>
          <w:trHeight w:val="326"/>
          <w:jc w:val="center"/>
        </w:trPr>
        <w:tc>
          <w:tcPr>
            <w:tcW w:w="2330" w:type="dxa"/>
            <w:tcBorders>
              <w:left w:val="single" w:sz="18" w:space="0" w:color="auto"/>
              <w:bottom w:val="single" w:sz="8" w:space="0" w:color="auto"/>
              <w:right w:val="single" w:sz="18" w:space="0" w:color="auto"/>
            </w:tcBorders>
            <w:shd w:val="clear" w:color="auto" w:fill="auto"/>
            <w:noWrap/>
            <w:vAlign w:val="center"/>
          </w:tcPr>
          <w:p w14:paraId="59234895"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366" w:type="dxa"/>
            <w:tcBorders>
              <w:left w:val="single" w:sz="18" w:space="0" w:color="auto"/>
              <w:bottom w:val="single" w:sz="8" w:space="0" w:color="auto"/>
              <w:right w:val="single" w:sz="18" w:space="0" w:color="auto"/>
            </w:tcBorders>
            <w:shd w:val="clear" w:color="auto" w:fill="auto"/>
            <w:noWrap/>
            <w:vAlign w:val="center"/>
          </w:tcPr>
          <w:p w14:paraId="39A46A20"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8" w:space="0" w:color="auto"/>
              <w:right w:val="single" w:sz="18" w:space="0" w:color="auto"/>
            </w:tcBorders>
            <w:vAlign w:val="center"/>
          </w:tcPr>
          <w:p w14:paraId="738819F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8" w:space="0" w:color="auto"/>
              <w:right w:val="single" w:sz="18" w:space="0" w:color="auto"/>
            </w:tcBorders>
            <w:vAlign w:val="center"/>
          </w:tcPr>
          <w:p w14:paraId="4759692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(.0061489)</w:t>
            </w:r>
          </w:p>
        </w:tc>
        <w:tc>
          <w:tcPr>
            <w:tcW w:w="1289" w:type="dxa"/>
            <w:tcBorders>
              <w:left w:val="single" w:sz="12" w:space="0" w:color="auto"/>
              <w:bottom w:val="single" w:sz="8" w:space="0" w:color="auto"/>
              <w:right w:val="single" w:sz="18" w:space="0" w:color="auto"/>
            </w:tcBorders>
            <w:vAlign w:val="center"/>
          </w:tcPr>
          <w:p w14:paraId="4C24F023"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07421FE5" w14:textId="77777777" w:rsidTr="00DB7ACB">
        <w:trPr>
          <w:trHeight w:val="326"/>
          <w:jc w:val="center"/>
        </w:trPr>
        <w:tc>
          <w:tcPr>
            <w:tcW w:w="2330" w:type="dxa"/>
            <w:tcBorders>
              <w:top w:val="single" w:sz="8" w:space="0" w:color="auto"/>
              <w:left w:val="single" w:sz="18" w:space="0" w:color="auto"/>
              <w:bottom w:val="nil"/>
              <w:right w:val="single" w:sz="18" w:space="0" w:color="auto"/>
            </w:tcBorders>
            <w:shd w:val="clear" w:color="auto" w:fill="auto"/>
            <w:noWrap/>
            <w:vAlign w:val="center"/>
          </w:tcPr>
          <w:p w14:paraId="4032CD36"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Fixed effects</w:t>
            </w:r>
          </w:p>
        </w:tc>
        <w:tc>
          <w:tcPr>
            <w:tcW w:w="1366" w:type="dxa"/>
            <w:tcBorders>
              <w:top w:val="single" w:sz="8" w:space="0" w:color="auto"/>
              <w:left w:val="single" w:sz="18" w:space="0" w:color="auto"/>
              <w:bottom w:val="nil"/>
              <w:right w:val="single" w:sz="18" w:space="0" w:color="auto"/>
            </w:tcBorders>
            <w:shd w:val="clear" w:color="auto" w:fill="auto"/>
            <w:noWrap/>
            <w:vAlign w:val="center"/>
          </w:tcPr>
          <w:p w14:paraId="77F7776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single" w:sz="8" w:space="0" w:color="auto"/>
              <w:left w:val="single" w:sz="12" w:space="0" w:color="auto"/>
              <w:bottom w:val="nil"/>
              <w:right w:val="single" w:sz="18" w:space="0" w:color="auto"/>
            </w:tcBorders>
            <w:vAlign w:val="center"/>
          </w:tcPr>
          <w:p w14:paraId="6BAD25C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single" w:sz="8" w:space="0" w:color="auto"/>
              <w:left w:val="single" w:sz="12" w:space="0" w:color="auto"/>
              <w:bottom w:val="nil"/>
              <w:right w:val="single" w:sz="18" w:space="0" w:color="auto"/>
            </w:tcBorders>
            <w:vAlign w:val="center"/>
          </w:tcPr>
          <w:p w14:paraId="6C9012E5"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single" w:sz="8" w:space="0" w:color="auto"/>
              <w:left w:val="single" w:sz="12" w:space="0" w:color="auto"/>
              <w:bottom w:val="nil"/>
              <w:right w:val="single" w:sz="18" w:space="0" w:color="auto"/>
            </w:tcBorders>
            <w:vAlign w:val="center"/>
          </w:tcPr>
          <w:p w14:paraId="6E31CAE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r>
      <w:tr w:rsidR="00084A42" w:rsidRPr="00D85472" w14:paraId="683DBFAB" w14:textId="77777777" w:rsidTr="00DB7ACB">
        <w:trPr>
          <w:trHeight w:val="326"/>
          <w:jc w:val="center"/>
        </w:trPr>
        <w:tc>
          <w:tcPr>
            <w:tcW w:w="2330" w:type="dxa"/>
            <w:tcBorders>
              <w:top w:val="nil"/>
              <w:left w:val="single" w:sz="18" w:space="0" w:color="auto"/>
              <w:right w:val="single" w:sz="18" w:space="0" w:color="auto"/>
            </w:tcBorders>
            <w:shd w:val="clear" w:color="auto" w:fill="auto"/>
            <w:noWrap/>
            <w:vAlign w:val="center"/>
          </w:tcPr>
          <w:p w14:paraId="0ECE402D"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R-squared</w:t>
            </w:r>
          </w:p>
        </w:tc>
        <w:tc>
          <w:tcPr>
            <w:tcW w:w="1366" w:type="dxa"/>
            <w:tcBorders>
              <w:top w:val="nil"/>
              <w:left w:val="single" w:sz="18" w:space="0" w:color="auto"/>
              <w:right w:val="single" w:sz="18" w:space="0" w:color="auto"/>
            </w:tcBorders>
            <w:shd w:val="clear" w:color="auto" w:fill="auto"/>
            <w:noWrap/>
            <w:vAlign w:val="center"/>
          </w:tcPr>
          <w:p w14:paraId="1980C9B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0.9104</w:t>
            </w:r>
          </w:p>
        </w:tc>
        <w:tc>
          <w:tcPr>
            <w:tcW w:w="1289" w:type="dxa"/>
            <w:tcBorders>
              <w:top w:val="nil"/>
              <w:left w:val="single" w:sz="12" w:space="0" w:color="auto"/>
              <w:right w:val="single" w:sz="18" w:space="0" w:color="auto"/>
            </w:tcBorders>
            <w:vAlign w:val="center"/>
          </w:tcPr>
          <w:p w14:paraId="7CC7B41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0.9105</w:t>
            </w:r>
          </w:p>
        </w:tc>
        <w:tc>
          <w:tcPr>
            <w:tcW w:w="1289" w:type="dxa"/>
            <w:tcBorders>
              <w:top w:val="nil"/>
              <w:left w:val="single" w:sz="12" w:space="0" w:color="auto"/>
              <w:right w:val="single" w:sz="18" w:space="0" w:color="auto"/>
            </w:tcBorders>
            <w:vAlign w:val="center"/>
          </w:tcPr>
          <w:p w14:paraId="1453E5A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0.9110</w:t>
            </w:r>
          </w:p>
        </w:tc>
        <w:tc>
          <w:tcPr>
            <w:tcW w:w="1289" w:type="dxa"/>
            <w:tcBorders>
              <w:top w:val="nil"/>
              <w:left w:val="single" w:sz="12" w:space="0" w:color="auto"/>
              <w:right w:val="single" w:sz="18" w:space="0" w:color="auto"/>
            </w:tcBorders>
            <w:vAlign w:val="center"/>
          </w:tcPr>
          <w:p w14:paraId="719E7D6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0.8490</w:t>
            </w:r>
          </w:p>
        </w:tc>
      </w:tr>
      <w:tr w:rsidR="00084A42" w:rsidRPr="00D85472" w14:paraId="4F47F227" w14:textId="77777777" w:rsidTr="00DB7ACB">
        <w:trPr>
          <w:trHeight w:val="326"/>
          <w:jc w:val="center"/>
        </w:trPr>
        <w:tc>
          <w:tcPr>
            <w:tcW w:w="2330" w:type="dxa"/>
            <w:tcBorders>
              <w:top w:val="nil"/>
              <w:left w:val="single" w:sz="18" w:space="0" w:color="auto"/>
              <w:right w:val="single" w:sz="18" w:space="0" w:color="auto"/>
            </w:tcBorders>
            <w:shd w:val="clear" w:color="auto" w:fill="auto"/>
            <w:noWrap/>
            <w:vAlign w:val="center"/>
          </w:tcPr>
          <w:p w14:paraId="23EEE8A7"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observations</w:t>
            </w:r>
          </w:p>
        </w:tc>
        <w:tc>
          <w:tcPr>
            <w:tcW w:w="1366" w:type="dxa"/>
            <w:tcBorders>
              <w:top w:val="nil"/>
              <w:left w:val="single" w:sz="18" w:space="0" w:color="auto"/>
              <w:right w:val="single" w:sz="18" w:space="0" w:color="auto"/>
            </w:tcBorders>
            <w:shd w:val="clear" w:color="auto" w:fill="auto"/>
            <w:noWrap/>
            <w:vAlign w:val="center"/>
          </w:tcPr>
          <w:p w14:paraId="1F6006D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41F42EF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4FBA9C0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4500EB1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r>
      <w:tr w:rsidR="00084A42" w:rsidRPr="00D85472" w14:paraId="3BA83266" w14:textId="77777777" w:rsidTr="00DB7ACB">
        <w:trPr>
          <w:trHeight w:val="326"/>
          <w:jc w:val="center"/>
        </w:trPr>
        <w:tc>
          <w:tcPr>
            <w:tcW w:w="2330" w:type="dxa"/>
            <w:tcBorders>
              <w:top w:val="nil"/>
              <w:left w:val="single" w:sz="18" w:space="0" w:color="auto"/>
              <w:bottom w:val="nil"/>
              <w:right w:val="single" w:sz="18" w:space="0" w:color="auto"/>
            </w:tcBorders>
            <w:shd w:val="clear" w:color="auto" w:fill="auto"/>
            <w:noWrap/>
            <w:vAlign w:val="center"/>
            <w:hideMark/>
          </w:tcPr>
          <w:p w14:paraId="1621945E"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groups</w:t>
            </w:r>
          </w:p>
        </w:tc>
        <w:tc>
          <w:tcPr>
            <w:tcW w:w="1366" w:type="dxa"/>
            <w:tcBorders>
              <w:top w:val="nil"/>
              <w:left w:val="single" w:sz="18" w:space="0" w:color="auto"/>
              <w:bottom w:val="nil"/>
              <w:right w:val="single" w:sz="18" w:space="0" w:color="auto"/>
            </w:tcBorders>
            <w:shd w:val="clear" w:color="auto" w:fill="auto"/>
            <w:noWrap/>
            <w:vAlign w:val="center"/>
            <w:hideMark/>
          </w:tcPr>
          <w:p w14:paraId="2145979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05D5539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63F4E2F5"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44B3AAB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r>
      <w:tr w:rsidR="00084A42" w:rsidRPr="00D85472" w14:paraId="4A8FC90A" w14:textId="77777777" w:rsidTr="00DB7ACB">
        <w:trPr>
          <w:trHeight w:val="326"/>
          <w:jc w:val="center"/>
        </w:trPr>
        <w:tc>
          <w:tcPr>
            <w:tcW w:w="2330" w:type="dxa"/>
            <w:tcBorders>
              <w:top w:val="nil"/>
              <w:left w:val="single" w:sz="18" w:space="0" w:color="auto"/>
              <w:right w:val="single" w:sz="18" w:space="0" w:color="auto"/>
            </w:tcBorders>
            <w:shd w:val="clear" w:color="auto" w:fill="auto"/>
            <w:noWrap/>
            <w:vAlign w:val="center"/>
            <w:hideMark/>
          </w:tcPr>
          <w:p w14:paraId="3EA254B0"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Rho</w:t>
            </w:r>
          </w:p>
        </w:tc>
        <w:tc>
          <w:tcPr>
            <w:tcW w:w="1366" w:type="dxa"/>
            <w:tcBorders>
              <w:top w:val="nil"/>
              <w:left w:val="single" w:sz="18" w:space="0" w:color="auto"/>
              <w:right w:val="single" w:sz="18" w:space="0" w:color="auto"/>
            </w:tcBorders>
            <w:shd w:val="clear" w:color="auto" w:fill="auto"/>
            <w:noWrap/>
            <w:vAlign w:val="center"/>
            <w:hideMark/>
          </w:tcPr>
          <w:p w14:paraId="7497B16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0.8584577</w:t>
            </w:r>
          </w:p>
        </w:tc>
        <w:tc>
          <w:tcPr>
            <w:tcW w:w="1289" w:type="dxa"/>
            <w:tcBorders>
              <w:top w:val="nil"/>
              <w:left w:val="single" w:sz="12" w:space="0" w:color="auto"/>
              <w:right w:val="single" w:sz="18" w:space="0" w:color="auto"/>
            </w:tcBorders>
            <w:vAlign w:val="center"/>
          </w:tcPr>
          <w:p w14:paraId="7A7E024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0.85801514</w:t>
            </w:r>
          </w:p>
        </w:tc>
        <w:tc>
          <w:tcPr>
            <w:tcW w:w="1289" w:type="dxa"/>
            <w:tcBorders>
              <w:top w:val="nil"/>
              <w:left w:val="single" w:sz="12" w:space="0" w:color="auto"/>
              <w:right w:val="single" w:sz="18" w:space="0" w:color="auto"/>
            </w:tcBorders>
            <w:vAlign w:val="center"/>
          </w:tcPr>
          <w:p w14:paraId="4F2B393C"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0.85822486</w:t>
            </w:r>
          </w:p>
        </w:tc>
        <w:tc>
          <w:tcPr>
            <w:tcW w:w="1289" w:type="dxa"/>
            <w:tcBorders>
              <w:top w:val="nil"/>
              <w:left w:val="single" w:sz="12" w:space="0" w:color="auto"/>
              <w:right w:val="single" w:sz="18" w:space="0" w:color="auto"/>
            </w:tcBorders>
            <w:vAlign w:val="center"/>
          </w:tcPr>
          <w:p w14:paraId="483F96F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0.37711977</w:t>
            </w:r>
          </w:p>
        </w:tc>
      </w:tr>
      <w:tr w:rsidR="00084A42" w:rsidRPr="00D85472" w14:paraId="46803B3D" w14:textId="77777777" w:rsidTr="00DB7ACB">
        <w:trPr>
          <w:trHeight w:val="341"/>
          <w:jc w:val="center"/>
        </w:trPr>
        <w:tc>
          <w:tcPr>
            <w:tcW w:w="2330" w:type="dxa"/>
            <w:tcBorders>
              <w:top w:val="nil"/>
              <w:left w:val="single" w:sz="18" w:space="0" w:color="auto"/>
              <w:bottom w:val="single" w:sz="18" w:space="0" w:color="auto"/>
              <w:right w:val="single" w:sz="18" w:space="0" w:color="auto"/>
            </w:tcBorders>
            <w:shd w:val="clear" w:color="auto" w:fill="auto"/>
            <w:noWrap/>
            <w:vAlign w:val="center"/>
            <w:hideMark/>
          </w:tcPr>
          <w:p w14:paraId="092064C5"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Hausman test</w:t>
            </w:r>
          </w:p>
        </w:tc>
        <w:tc>
          <w:tcPr>
            <w:tcW w:w="1366" w:type="dxa"/>
            <w:tcBorders>
              <w:top w:val="nil"/>
              <w:left w:val="single" w:sz="18" w:space="0" w:color="auto"/>
              <w:bottom w:val="single" w:sz="18" w:space="0" w:color="auto"/>
              <w:right w:val="single" w:sz="18" w:space="0" w:color="auto"/>
            </w:tcBorders>
            <w:shd w:val="clear" w:color="auto" w:fill="auto"/>
            <w:noWrap/>
            <w:vAlign w:val="center"/>
            <w:hideMark/>
          </w:tcPr>
          <w:p w14:paraId="3AC68EC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negative</w:t>
            </w:r>
          </w:p>
        </w:tc>
        <w:tc>
          <w:tcPr>
            <w:tcW w:w="1289" w:type="dxa"/>
            <w:tcBorders>
              <w:top w:val="nil"/>
              <w:left w:val="single" w:sz="12" w:space="0" w:color="auto"/>
              <w:bottom w:val="single" w:sz="18" w:space="0" w:color="auto"/>
              <w:right w:val="single" w:sz="18" w:space="0" w:color="auto"/>
            </w:tcBorders>
            <w:vAlign w:val="center"/>
          </w:tcPr>
          <w:p w14:paraId="6E5FCDB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negative</w:t>
            </w:r>
          </w:p>
        </w:tc>
        <w:tc>
          <w:tcPr>
            <w:tcW w:w="1289" w:type="dxa"/>
            <w:tcBorders>
              <w:top w:val="nil"/>
              <w:left w:val="single" w:sz="12" w:space="0" w:color="auto"/>
              <w:bottom w:val="single" w:sz="18" w:space="0" w:color="auto"/>
              <w:right w:val="single" w:sz="18" w:space="0" w:color="auto"/>
            </w:tcBorders>
            <w:vAlign w:val="center"/>
          </w:tcPr>
          <w:p w14:paraId="6C62ECF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fails to 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(p &gt; 0.05)</w:t>
            </w:r>
          </w:p>
        </w:tc>
        <w:tc>
          <w:tcPr>
            <w:tcW w:w="1289" w:type="dxa"/>
            <w:tcBorders>
              <w:top w:val="nil"/>
              <w:left w:val="single" w:sz="12" w:space="0" w:color="auto"/>
              <w:bottom w:val="single" w:sz="18" w:space="0" w:color="auto"/>
              <w:right w:val="single" w:sz="18" w:space="0" w:color="auto"/>
            </w:tcBorders>
            <w:vAlign w:val="center"/>
          </w:tcPr>
          <w:p w14:paraId="2A2AC97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fails to 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(p &gt; 0.05)</w:t>
            </w:r>
          </w:p>
        </w:tc>
      </w:tr>
      <w:tr w:rsidR="00084A42" w:rsidRPr="00D85472" w14:paraId="43AA6BC3" w14:textId="77777777" w:rsidTr="00DB7ACB">
        <w:trPr>
          <w:trHeight w:val="341"/>
          <w:jc w:val="center"/>
        </w:trPr>
        <w:tc>
          <w:tcPr>
            <w:tcW w:w="7563" w:type="dxa"/>
            <w:gridSpan w:val="5"/>
            <w:tcBorders>
              <w:top w:val="single" w:sz="18" w:space="0" w:color="auto"/>
            </w:tcBorders>
            <w:shd w:val="clear" w:color="auto" w:fill="auto"/>
            <w:noWrap/>
            <w:vAlign w:val="center"/>
          </w:tcPr>
          <w:p w14:paraId="406D7EE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 p &lt; 0.1, ** p &lt; 0.05, *** p &lt; 0.01</w:t>
            </w:r>
          </w:p>
        </w:tc>
      </w:tr>
    </w:tbl>
    <w:p w14:paraId="36213B02" w14:textId="7BF4FDBD" w:rsidR="00084A42" w:rsidRPr="00D85472" w:rsidRDefault="00084A42" w:rsidP="00084A42">
      <w:pPr>
        <w:rPr>
          <w:lang w:val="en-GB"/>
        </w:rPr>
      </w:pPr>
      <w:r w:rsidRPr="00D85472">
        <w:rPr>
          <w:lang w:val="en-GB"/>
        </w:rPr>
        <w:tab/>
      </w:r>
    </w:p>
    <w:p w14:paraId="3FA2D849" w14:textId="77777777" w:rsidR="00084A42" w:rsidRPr="00D85472" w:rsidRDefault="00084A42">
      <w:pPr>
        <w:rPr>
          <w:lang w:val="en-GB"/>
        </w:rPr>
      </w:pPr>
      <w:r w:rsidRPr="00D85472">
        <w:rPr>
          <w:lang w:val="en-GB"/>
        </w:rPr>
        <w:br w:type="page"/>
      </w:r>
    </w:p>
    <w:tbl>
      <w:tblPr>
        <w:tblW w:w="4961" w:type="dxa"/>
        <w:jc w:val="center"/>
        <w:tblLayout w:type="fixed"/>
        <w:tblLook w:val="04A0" w:firstRow="1" w:lastRow="0" w:firstColumn="1" w:lastColumn="0" w:noHBand="0" w:noVBand="1"/>
      </w:tblPr>
      <w:tblGrid>
        <w:gridCol w:w="2385"/>
        <w:gridCol w:w="1288"/>
        <w:gridCol w:w="1288"/>
      </w:tblGrid>
      <w:tr w:rsidR="00084A42" w:rsidRPr="00D85472" w14:paraId="28ED94FE" w14:textId="77777777" w:rsidTr="00DB7ACB">
        <w:trPr>
          <w:trHeight w:val="326"/>
          <w:jc w:val="center"/>
        </w:trPr>
        <w:tc>
          <w:tcPr>
            <w:tcW w:w="2385" w:type="dxa"/>
            <w:tcBorders>
              <w:top w:val="single" w:sz="12" w:space="0" w:color="auto"/>
              <w:left w:val="single" w:sz="18" w:space="0" w:color="auto"/>
              <w:bottom w:val="single" w:sz="12" w:space="0" w:color="auto"/>
              <w:right w:val="single" w:sz="18" w:space="0" w:color="auto"/>
            </w:tcBorders>
            <w:shd w:val="clear" w:color="auto" w:fill="auto"/>
            <w:noWrap/>
            <w:vAlign w:val="center"/>
            <w:hideMark/>
          </w:tcPr>
          <w:p w14:paraId="482A61DD" w14:textId="2AA96560"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Independent variables</w:t>
            </w:r>
          </w:p>
        </w:tc>
        <w:tc>
          <w:tcPr>
            <w:tcW w:w="1288" w:type="dxa"/>
            <w:tcBorders>
              <w:top w:val="single" w:sz="12" w:space="0" w:color="auto"/>
              <w:left w:val="single" w:sz="18" w:space="0" w:color="auto"/>
              <w:bottom w:val="single" w:sz="12" w:space="0" w:color="auto"/>
              <w:right w:val="single" w:sz="18" w:space="0" w:color="auto"/>
            </w:tcBorders>
            <w:vAlign w:val="center"/>
          </w:tcPr>
          <w:p w14:paraId="1CF942D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3</w:t>
            </w:r>
          </w:p>
        </w:tc>
        <w:tc>
          <w:tcPr>
            <w:tcW w:w="1288" w:type="dxa"/>
            <w:tcBorders>
              <w:top w:val="single" w:sz="12" w:space="0" w:color="auto"/>
              <w:left w:val="single" w:sz="18" w:space="0" w:color="auto"/>
              <w:bottom w:val="single" w:sz="12" w:space="0" w:color="auto"/>
              <w:right w:val="single" w:sz="18" w:space="0" w:color="auto"/>
            </w:tcBorders>
            <w:shd w:val="clear" w:color="auto" w:fill="auto"/>
            <w:noWrap/>
            <w:vAlign w:val="center"/>
          </w:tcPr>
          <w:p w14:paraId="2185E6A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3b</w:t>
            </w:r>
          </w:p>
        </w:tc>
      </w:tr>
      <w:tr w:rsidR="00084A42" w:rsidRPr="00D85472" w14:paraId="10C894B7"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3D799A55"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Constant</w:t>
            </w:r>
          </w:p>
        </w:tc>
        <w:tc>
          <w:tcPr>
            <w:tcW w:w="1288" w:type="dxa"/>
            <w:tcBorders>
              <w:top w:val="nil"/>
              <w:left w:val="single" w:sz="18" w:space="0" w:color="auto"/>
              <w:bottom w:val="nil"/>
              <w:right w:val="single" w:sz="18" w:space="0" w:color="auto"/>
            </w:tcBorders>
            <w:vAlign w:val="center"/>
          </w:tcPr>
          <w:p w14:paraId="7D22825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.3766753***</w:t>
            </w:r>
          </w:p>
        </w:tc>
        <w:tc>
          <w:tcPr>
            <w:tcW w:w="1288" w:type="dxa"/>
            <w:tcBorders>
              <w:top w:val="nil"/>
              <w:left w:val="single" w:sz="18" w:space="0" w:color="auto"/>
              <w:bottom w:val="nil"/>
              <w:right w:val="single" w:sz="18" w:space="0" w:color="auto"/>
            </w:tcBorders>
            <w:shd w:val="clear" w:color="auto" w:fill="auto"/>
            <w:noWrap/>
            <w:vAlign w:val="center"/>
          </w:tcPr>
          <w:p w14:paraId="2FEF778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.3524656***</w:t>
            </w:r>
          </w:p>
        </w:tc>
      </w:tr>
      <w:tr w:rsidR="00084A42" w:rsidRPr="00D85472" w14:paraId="439FCC53"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79FDE5D4"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top w:val="nil"/>
              <w:left w:val="single" w:sz="18" w:space="0" w:color="auto"/>
              <w:bottom w:val="nil"/>
              <w:right w:val="single" w:sz="18" w:space="0" w:color="auto"/>
            </w:tcBorders>
            <w:vAlign w:val="center"/>
          </w:tcPr>
          <w:p w14:paraId="1C66DC7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(.00423)</w:t>
            </w:r>
          </w:p>
        </w:tc>
        <w:tc>
          <w:tcPr>
            <w:tcW w:w="1288" w:type="dxa"/>
            <w:tcBorders>
              <w:top w:val="nil"/>
              <w:left w:val="single" w:sz="18" w:space="0" w:color="auto"/>
              <w:bottom w:val="nil"/>
              <w:right w:val="single" w:sz="18" w:space="0" w:color="auto"/>
            </w:tcBorders>
            <w:shd w:val="clear" w:color="auto" w:fill="auto"/>
            <w:noWrap/>
            <w:vAlign w:val="center"/>
          </w:tcPr>
          <w:p w14:paraId="3123C09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(.0069723)</w:t>
            </w:r>
          </w:p>
        </w:tc>
      </w:tr>
      <w:tr w:rsidR="00084A42" w:rsidRPr="00D85472" w14:paraId="098AA191"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646E6ED5"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PROJECT</w:t>
            </w:r>
          </w:p>
        </w:tc>
        <w:tc>
          <w:tcPr>
            <w:tcW w:w="1288" w:type="dxa"/>
            <w:tcBorders>
              <w:top w:val="nil"/>
              <w:left w:val="single" w:sz="18" w:space="0" w:color="auto"/>
              <w:bottom w:val="nil"/>
              <w:right w:val="single" w:sz="18" w:space="0" w:color="auto"/>
            </w:tcBorders>
            <w:vAlign w:val="center"/>
          </w:tcPr>
          <w:p w14:paraId="7B9EC3AE"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-.142969***</w:t>
            </w:r>
          </w:p>
        </w:tc>
        <w:tc>
          <w:tcPr>
            <w:tcW w:w="1288" w:type="dxa"/>
            <w:tcBorders>
              <w:top w:val="nil"/>
              <w:left w:val="single" w:sz="18" w:space="0" w:color="auto"/>
              <w:bottom w:val="nil"/>
              <w:right w:val="single" w:sz="18" w:space="0" w:color="auto"/>
            </w:tcBorders>
            <w:shd w:val="clear" w:color="auto" w:fill="auto"/>
            <w:noWrap/>
            <w:vAlign w:val="center"/>
          </w:tcPr>
          <w:p w14:paraId="14C5F66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75527989"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2664EA7B"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top w:val="nil"/>
              <w:left w:val="single" w:sz="18" w:space="0" w:color="auto"/>
              <w:bottom w:val="nil"/>
              <w:right w:val="single" w:sz="18" w:space="0" w:color="auto"/>
            </w:tcBorders>
            <w:vAlign w:val="center"/>
          </w:tcPr>
          <w:p w14:paraId="08842A0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(.0134364)</w:t>
            </w:r>
          </w:p>
        </w:tc>
        <w:tc>
          <w:tcPr>
            <w:tcW w:w="1288" w:type="dxa"/>
            <w:tcBorders>
              <w:top w:val="nil"/>
              <w:left w:val="single" w:sz="18" w:space="0" w:color="auto"/>
              <w:bottom w:val="nil"/>
              <w:right w:val="single" w:sz="18" w:space="0" w:color="auto"/>
            </w:tcBorders>
            <w:shd w:val="clear" w:color="auto" w:fill="auto"/>
            <w:noWrap/>
            <w:vAlign w:val="center"/>
          </w:tcPr>
          <w:p w14:paraId="514C407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304B1FF3"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780D6837"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PROJECT ×Realization09</w:t>
            </w:r>
          </w:p>
        </w:tc>
        <w:tc>
          <w:tcPr>
            <w:tcW w:w="1288" w:type="dxa"/>
            <w:tcBorders>
              <w:top w:val="nil"/>
              <w:left w:val="single" w:sz="18" w:space="0" w:color="auto"/>
              <w:bottom w:val="nil"/>
              <w:right w:val="single" w:sz="18" w:space="0" w:color="auto"/>
            </w:tcBorders>
            <w:vAlign w:val="center"/>
          </w:tcPr>
          <w:p w14:paraId="3563F21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-.0153116</w:t>
            </w:r>
          </w:p>
        </w:tc>
        <w:tc>
          <w:tcPr>
            <w:tcW w:w="1288" w:type="dxa"/>
            <w:tcBorders>
              <w:top w:val="nil"/>
              <w:left w:val="single" w:sz="18" w:space="0" w:color="auto"/>
              <w:bottom w:val="nil"/>
              <w:right w:val="single" w:sz="18" w:space="0" w:color="auto"/>
            </w:tcBorders>
            <w:shd w:val="clear" w:color="auto" w:fill="auto"/>
            <w:noWrap/>
            <w:vAlign w:val="center"/>
          </w:tcPr>
          <w:p w14:paraId="564BAD7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40B5EC59"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4D158611"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top w:val="nil"/>
              <w:left w:val="single" w:sz="18" w:space="0" w:color="auto"/>
              <w:bottom w:val="nil"/>
              <w:right w:val="single" w:sz="18" w:space="0" w:color="auto"/>
            </w:tcBorders>
            <w:vAlign w:val="center"/>
          </w:tcPr>
          <w:p w14:paraId="4DC51D61"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(.020157)</w:t>
            </w:r>
          </w:p>
        </w:tc>
        <w:tc>
          <w:tcPr>
            <w:tcW w:w="1288" w:type="dxa"/>
            <w:tcBorders>
              <w:top w:val="nil"/>
              <w:left w:val="single" w:sz="18" w:space="0" w:color="auto"/>
              <w:bottom w:val="nil"/>
              <w:right w:val="single" w:sz="18" w:space="0" w:color="auto"/>
            </w:tcBorders>
            <w:shd w:val="clear" w:color="auto" w:fill="auto"/>
            <w:noWrap/>
            <w:vAlign w:val="center"/>
          </w:tcPr>
          <w:p w14:paraId="1E04FEF6"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138B0FF2"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1E38E907"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PROJECT×Realization11</w:t>
            </w:r>
          </w:p>
        </w:tc>
        <w:tc>
          <w:tcPr>
            <w:tcW w:w="1288" w:type="dxa"/>
            <w:tcBorders>
              <w:top w:val="nil"/>
              <w:left w:val="single" w:sz="18" w:space="0" w:color="auto"/>
              <w:bottom w:val="nil"/>
              <w:right w:val="single" w:sz="18" w:space="0" w:color="auto"/>
            </w:tcBorders>
            <w:vAlign w:val="center"/>
          </w:tcPr>
          <w:p w14:paraId="08506B1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.0476092**</w:t>
            </w:r>
          </w:p>
        </w:tc>
        <w:tc>
          <w:tcPr>
            <w:tcW w:w="1288" w:type="dxa"/>
            <w:tcBorders>
              <w:top w:val="nil"/>
              <w:left w:val="single" w:sz="18" w:space="0" w:color="auto"/>
              <w:bottom w:val="nil"/>
              <w:right w:val="single" w:sz="18" w:space="0" w:color="auto"/>
            </w:tcBorders>
            <w:shd w:val="clear" w:color="auto" w:fill="auto"/>
            <w:noWrap/>
            <w:vAlign w:val="center"/>
          </w:tcPr>
          <w:p w14:paraId="1029180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36EAC252"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58EF7D1F"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top w:val="nil"/>
              <w:left w:val="single" w:sz="18" w:space="0" w:color="auto"/>
              <w:bottom w:val="nil"/>
              <w:right w:val="single" w:sz="18" w:space="0" w:color="auto"/>
            </w:tcBorders>
            <w:vAlign w:val="center"/>
          </w:tcPr>
          <w:p w14:paraId="769FEFA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(.0196847)</w:t>
            </w:r>
          </w:p>
        </w:tc>
        <w:tc>
          <w:tcPr>
            <w:tcW w:w="1288" w:type="dxa"/>
            <w:tcBorders>
              <w:top w:val="nil"/>
              <w:left w:val="single" w:sz="18" w:space="0" w:color="auto"/>
              <w:bottom w:val="nil"/>
              <w:right w:val="single" w:sz="18" w:space="0" w:color="auto"/>
            </w:tcBorders>
            <w:shd w:val="clear" w:color="auto" w:fill="auto"/>
            <w:noWrap/>
            <w:vAlign w:val="center"/>
          </w:tcPr>
          <w:p w14:paraId="70BA520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084A42" w:rsidRPr="00D85472" w14:paraId="14A4C9F6"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hideMark/>
          </w:tcPr>
          <w:p w14:paraId="672D988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Inv6</w:t>
            </w:r>
          </w:p>
        </w:tc>
        <w:tc>
          <w:tcPr>
            <w:tcW w:w="1288" w:type="dxa"/>
            <w:tcBorders>
              <w:top w:val="nil"/>
              <w:left w:val="single" w:sz="18" w:space="0" w:color="auto"/>
              <w:bottom w:val="nil"/>
              <w:right w:val="single" w:sz="18" w:space="0" w:color="auto"/>
            </w:tcBorders>
            <w:vAlign w:val="center"/>
          </w:tcPr>
          <w:p w14:paraId="5B4183F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top w:val="nil"/>
              <w:left w:val="single" w:sz="18" w:space="0" w:color="auto"/>
              <w:bottom w:val="nil"/>
              <w:right w:val="single" w:sz="18" w:space="0" w:color="auto"/>
            </w:tcBorders>
            <w:shd w:val="clear" w:color="auto" w:fill="auto"/>
            <w:noWrap/>
            <w:vAlign w:val="center"/>
          </w:tcPr>
          <w:p w14:paraId="7B700CB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-.011233***</w:t>
            </w:r>
          </w:p>
        </w:tc>
      </w:tr>
      <w:tr w:rsidR="00084A42" w:rsidRPr="00D85472" w14:paraId="0DA8DBD8" w14:textId="77777777" w:rsidTr="00DB7ACB">
        <w:trPr>
          <w:trHeight w:val="326"/>
          <w:jc w:val="center"/>
        </w:trPr>
        <w:tc>
          <w:tcPr>
            <w:tcW w:w="2385" w:type="dxa"/>
            <w:tcBorders>
              <w:top w:val="nil"/>
              <w:left w:val="single" w:sz="18" w:space="0" w:color="auto"/>
              <w:right w:val="single" w:sz="18" w:space="0" w:color="auto"/>
            </w:tcBorders>
            <w:shd w:val="clear" w:color="auto" w:fill="auto"/>
            <w:noWrap/>
            <w:vAlign w:val="center"/>
            <w:hideMark/>
          </w:tcPr>
          <w:p w14:paraId="10E4910D"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 </w:t>
            </w:r>
          </w:p>
        </w:tc>
        <w:tc>
          <w:tcPr>
            <w:tcW w:w="1288" w:type="dxa"/>
            <w:tcBorders>
              <w:top w:val="nil"/>
              <w:left w:val="single" w:sz="18" w:space="0" w:color="auto"/>
              <w:right w:val="single" w:sz="18" w:space="0" w:color="auto"/>
            </w:tcBorders>
            <w:vAlign w:val="center"/>
          </w:tcPr>
          <w:p w14:paraId="2B9D596B"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top w:val="nil"/>
              <w:left w:val="single" w:sz="18" w:space="0" w:color="auto"/>
              <w:right w:val="single" w:sz="18" w:space="0" w:color="auto"/>
            </w:tcBorders>
            <w:shd w:val="clear" w:color="auto" w:fill="auto"/>
            <w:noWrap/>
            <w:vAlign w:val="center"/>
          </w:tcPr>
          <w:p w14:paraId="4E7C3277"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(.0018946)</w:t>
            </w:r>
          </w:p>
        </w:tc>
      </w:tr>
      <w:tr w:rsidR="00084A42" w:rsidRPr="00D85472" w14:paraId="0702E520" w14:textId="77777777" w:rsidTr="00DB7ACB">
        <w:trPr>
          <w:trHeight w:val="326"/>
          <w:jc w:val="center"/>
        </w:trPr>
        <w:tc>
          <w:tcPr>
            <w:tcW w:w="2385" w:type="dxa"/>
            <w:tcBorders>
              <w:top w:val="nil"/>
              <w:left w:val="single" w:sz="18" w:space="0" w:color="auto"/>
              <w:right w:val="single" w:sz="18" w:space="0" w:color="auto"/>
            </w:tcBorders>
            <w:shd w:val="clear" w:color="auto" w:fill="auto"/>
            <w:noWrap/>
            <w:vAlign w:val="center"/>
            <w:hideMark/>
          </w:tcPr>
          <w:p w14:paraId="2206B46E"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Inv6×Realization09</w:t>
            </w:r>
          </w:p>
        </w:tc>
        <w:tc>
          <w:tcPr>
            <w:tcW w:w="1288" w:type="dxa"/>
            <w:tcBorders>
              <w:top w:val="nil"/>
              <w:left w:val="single" w:sz="18" w:space="0" w:color="auto"/>
              <w:right w:val="single" w:sz="18" w:space="0" w:color="auto"/>
            </w:tcBorders>
            <w:vAlign w:val="center"/>
          </w:tcPr>
          <w:p w14:paraId="764493F5"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top w:val="nil"/>
              <w:left w:val="single" w:sz="18" w:space="0" w:color="auto"/>
              <w:right w:val="single" w:sz="18" w:space="0" w:color="auto"/>
            </w:tcBorders>
            <w:shd w:val="clear" w:color="auto" w:fill="auto"/>
            <w:noWrap/>
            <w:vAlign w:val="center"/>
          </w:tcPr>
          <w:p w14:paraId="3FED207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-.003414</w:t>
            </w:r>
          </w:p>
        </w:tc>
      </w:tr>
      <w:tr w:rsidR="00084A42" w:rsidRPr="00D85472" w14:paraId="2DB286A2" w14:textId="77777777" w:rsidTr="00DB7ACB">
        <w:trPr>
          <w:trHeight w:val="326"/>
          <w:jc w:val="center"/>
        </w:trPr>
        <w:tc>
          <w:tcPr>
            <w:tcW w:w="2385" w:type="dxa"/>
            <w:tcBorders>
              <w:left w:val="single" w:sz="18" w:space="0" w:color="auto"/>
              <w:right w:val="single" w:sz="18" w:space="0" w:color="auto"/>
            </w:tcBorders>
            <w:shd w:val="clear" w:color="auto" w:fill="auto"/>
            <w:noWrap/>
            <w:vAlign w:val="center"/>
            <w:hideMark/>
          </w:tcPr>
          <w:p w14:paraId="151CAE15"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vAlign w:val="center"/>
          </w:tcPr>
          <w:p w14:paraId="084F0A9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left w:val="single" w:sz="18" w:space="0" w:color="auto"/>
              <w:right w:val="single" w:sz="18" w:space="0" w:color="auto"/>
            </w:tcBorders>
            <w:shd w:val="clear" w:color="auto" w:fill="auto"/>
            <w:noWrap/>
            <w:vAlign w:val="center"/>
          </w:tcPr>
          <w:p w14:paraId="5B56D83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(.0060351)</w:t>
            </w:r>
          </w:p>
        </w:tc>
      </w:tr>
      <w:tr w:rsidR="00084A42" w:rsidRPr="00D85472" w14:paraId="3BFB689E" w14:textId="77777777" w:rsidTr="00DB7ACB">
        <w:trPr>
          <w:trHeight w:val="326"/>
          <w:jc w:val="center"/>
        </w:trPr>
        <w:tc>
          <w:tcPr>
            <w:tcW w:w="2385" w:type="dxa"/>
            <w:tcBorders>
              <w:left w:val="single" w:sz="18" w:space="0" w:color="auto"/>
              <w:right w:val="single" w:sz="18" w:space="0" w:color="auto"/>
            </w:tcBorders>
            <w:shd w:val="clear" w:color="auto" w:fill="auto"/>
            <w:noWrap/>
            <w:vAlign w:val="center"/>
          </w:tcPr>
          <w:p w14:paraId="34E3D2F6"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Inv6×Realization11</w:t>
            </w:r>
          </w:p>
        </w:tc>
        <w:tc>
          <w:tcPr>
            <w:tcW w:w="1288" w:type="dxa"/>
            <w:tcBorders>
              <w:left w:val="single" w:sz="18" w:space="0" w:color="auto"/>
              <w:right w:val="single" w:sz="18" w:space="0" w:color="auto"/>
            </w:tcBorders>
            <w:vAlign w:val="center"/>
          </w:tcPr>
          <w:p w14:paraId="2321069A"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left w:val="single" w:sz="18" w:space="0" w:color="auto"/>
              <w:right w:val="single" w:sz="18" w:space="0" w:color="auto"/>
            </w:tcBorders>
            <w:shd w:val="clear" w:color="auto" w:fill="auto"/>
            <w:noWrap/>
            <w:vAlign w:val="center"/>
          </w:tcPr>
          <w:p w14:paraId="4507169D"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.00615**</w:t>
            </w:r>
          </w:p>
        </w:tc>
      </w:tr>
      <w:tr w:rsidR="00084A42" w:rsidRPr="00D85472" w14:paraId="6566418A" w14:textId="77777777" w:rsidTr="00DB7ACB">
        <w:trPr>
          <w:trHeight w:val="326"/>
          <w:jc w:val="center"/>
        </w:trPr>
        <w:tc>
          <w:tcPr>
            <w:tcW w:w="2385" w:type="dxa"/>
            <w:tcBorders>
              <w:left w:val="single" w:sz="18" w:space="0" w:color="auto"/>
              <w:right w:val="single" w:sz="18" w:space="0" w:color="auto"/>
            </w:tcBorders>
            <w:shd w:val="clear" w:color="auto" w:fill="auto"/>
            <w:noWrap/>
            <w:vAlign w:val="center"/>
          </w:tcPr>
          <w:p w14:paraId="36E9383C" w14:textId="77777777" w:rsidR="00084A42" w:rsidRPr="00D85472" w:rsidRDefault="00084A42" w:rsidP="00DB7ACB">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vAlign w:val="center"/>
          </w:tcPr>
          <w:p w14:paraId="2C1F308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8" w:type="dxa"/>
            <w:tcBorders>
              <w:left w:val="single" w:sz="18" w:space="0" w:color="auto"/>
              <w:right w:val="single" w:sz="18" w:space="0" w:color="auto"/>
            </w:tcBorders>
            <w:shd w:val="clear" w:color="auto" w:fill="auto"/>
            <w:noWrap/>
            <w:vAlign w:val="center"/>
          </w:tcPr>
          <w:p w14:paraId="4395D056"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(.0029648)</w:t>
            </w:r>
          </w:p>
        </w:tc>
      </w:tr>
      <w:tr w:rsidR="00084A42" w:rsidRPr="00D85472" w14:paraId="3A3B2105" w14:textId="77777777" w:rsidTr="00DB7ACB">
        <w:trPr>
          <w:trHeight w:val="326"/>
          <w:jc w:val="center"/>
        </w:trPr>
        <w:tc>
          <w:tcPr>
            <w:tcW w:w="2385" w:type="dxa"/>
            <w:tcBorders>
              <w:top w:val="single" w:sz="6" w:space="0" w:color="auto"/>
              <w:left w:val="single" w:sz="18" w:space="0" w:color="auto"/>
              <w:bottom w:val="nil"/>
              <w:right w:val="single" w:sz="18" w:space="0" w:color="auto"/>
            </w:tcBorders>
            <w:shd w:val="clear" w:color="auto" w:fill="auto"/>
            <w:noWrap/>
            <w:vAlign w:val="center"/>
          </w:tcPr>
          <w:p w14:paraId="1EED4438"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Fixed effects</w:t>
            </w:r>
          </w:p>
        </w:tc>
        <w:tc>
          <w:tcPr>
            <w:tcW w:w="1288" w:type="dxa"/>
            <w:tcBorders>
              <w:top w:val="single" w:sz="6" w:space="0" w:color="auto"/>
              <w:left w:val="single" w:sz="18" w:space="0" w:color="auto"/>
              <w:bottom w:val="nil"/>
              <w:right w:val="single" w:sz="18" w:space="0" w:color="auto"/>
            </w:tcBorders>
            <w:vAlign w:val="center"/>
          </w:tcPr>
          <w:p w14:paraId="0F5EE03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8" w:type="dxa"/>
            <w:tcBorders>
              <w:top w:val="single" w:sz="6" w:space="0" w:color="auto"/>
              <w:left w:val="single" w:sz="18" w:space="0" w:color="auto"/>
              <w:bottom w:val="nil"/>
              <w:right w:val="single" w:sz="18" w:space="0" w:color="auto"/>
            </w:tcBorders>
            <w:shd w:val="clear" w:color="auto" w:fill="auto"/>
            <w:noWrap/>
            <w:vAlign w:val="center"/>
          </w:tcPr>
          <w:p w14:paraId="45CBE5C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r>
      <w:tr w:rsidR="00084A42" w:rsidRPr="00D85472" w14:paraId="33D5B9EB"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096E7DDC"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R-squared</w:t>
            </w:r>
          </w:p>
        </w:tc>
        <w:tc>
          <w:tcPr>
            <w:tcW w:w="1288" w:type="dxa"/>
            <w:tcBorders>
              <w:top w:val="nil"/>
              <w:left w:val="single" w:sz="18" w:space="0" w:color="auto"/>
              <w:bottom w:val="nil"/>
              <w:right w:val="single" w:sz="18" w:space="0" w:color="auto"/>
            </w:tcBorders>
            <w:vAlign w:val="center"/>
          </w:tcPr>
          <w:p w14:paraId="6EDF078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0.9186</w:t>
            </w:r>
          </w:p>
        </w:tc>
        <w:tc>
          <w:tcPr>
            <w:tcW w:w="1288" w:type="dxa"/>
            <w:tcBorders>
              <w:top w:val="nil"/>
              <w:left w:val="single" w:sz="18" w:space="0" w:color="auto"/>
              <w:bottom w:val="nil"/>
              <w:right w:val="single" w:sz="18" w:space="0" w:color="auto"/>
            </w:tcBorders>
            <w:shd w:val="clear" w:color="auto" w:fill="auto"/>
            <w:noWrap/>
            <w:vAlign w:val="center"/>
          </w:tcPr>
          <w:p w14:paraId="7D2FF4F8"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0.8126</w:t>
            </w:r>
          </w:p>
        </w:tc>
      </w:tr>
      <w:tr w:rsidR="00084A42" w:rsidRPr="00D85472" w14:paraId="7FC9CA94" w14:textId="77777777" w:rsidTr="00DB7ACB">
        <w:trPr>
          <w:trHeight w:val="326"/>
          <w:jc w:val="center"/>
        </w:trPr>
        <w:tc>
          <w:tcPr>
            <w:tcW w:w="2385" w:type="dxa"/>
            <w:tcBorders>
              <w:top w:val="nil"/>
              <w:left w:val="single" w:sz="18" w:space="0" w:color="auto"/>
              <w:right w:val="single" w:sz="18" w:space="0" w:color="auto"/>
            </w:tcBorders>
            <w:shd w:val="clear" w:color="auto" w:fill="auto"/>
            <w:noWrap/>
            <w:vAlign w:val="center"/>
          </w:tcPr>
          <w:p w14:paraId="294A2E89"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observations</w:t>
            </w:r>
          </w:p>
        </w:tc>
        <w:tc>
          <w:tcPr>
            <w:tcW w:w="1288" w:type="dxa"/>
            <w:tcBorders>
              <w:top w:val="nil"/>
              <w:left w:val="single" w:sz="18" w:space="0" w:color="auto"/>
              <w:right w:val="single" w:sz="18" w:space="0" w:color="auto"/>
            </w:tcBorders>
            <w:vAlign w:val="center"/>
          </w:tcPr>
          <w:p w14:paraId="1DE8002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8" w:type="dxa"/>
            <w:tcBorders>
              <w:top w:val="nil"/>
              <w:left w:val="single" w:sz="18" w:space="0" w:color="auto"/>
              <w:right w:val="single" w:sz="18" w:space="0" w:color="auto"/>
            </w:tcBorders>
            <w:shd w:val="clear" w:color="auto" w:fill="auto"/>
            <w:noWrap/>
            <w:vAlign w:val="center"/>
          </w:tcPr>
          <w:p w14:paraId="685AD5D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r>
      <w:tr w:rsidR="00084A42" w:rsidRPr="00D85472" w14:paraId="30A26FE6" w14:textId="77777777" w:rsidTr="00DB7ACB">
        <w:trPr>
          <w:trHeight w:val="326"/>
          <w:jc w:val="center"/>
        </w:trPr>
        <w:tc>
          <w:tcPr>
            <w:tcW w:w="2385" w:type="dxa"/>
            <w:tcBorders>
              <w:top w:val="nil"/>
              <w:left w:val="single" w:sz="18" w:space="0" w:color="auto"/>
              <w:bottom w:val="nil"/>
              <w:right w:val="single" w:sz="18" w:space="0" w:color="auto"/>
            </w:tcBorders>
            <w:shd w:val="clear" w:color="auto" w:fill="auto"/>
            <w:noWrap/>
            <w:vAlign w:val="center"/>
          </w:tcPr>
          <w:p w14:paraId="7B6D822E"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groups</w:t>
            </w:r>
          </w:p>
        </w:tc>
        <w:tc>
          <w:tcPr>
            <w:tcW w:w="1288" w:type="dxa"/>
            <w:tcBorders>
              <w:top w:val="nil"/>
              <w:left w:val="single" w:sz="18" w:space="0" w:color="auto"/>
              <w:bottom w:val="nil"/>
              <w:right w:val="single" w:sz="18" w:space="0" w:color="auto"/>
            </w:tcBorders>
            <w:vAlign w:val="center"/>
          </w:tcPr>
          <w:p w14:paraId="332806A3"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8" w:type="dxa"/>
            <w:tcBorders>
              <w:top w:val="nil"/>
              <w:left w:val="single" w:sz="18" w:space="0" w:color="auto"/>
              <w:bottom w:val="nil"/>
              <w:right w:val="single" w:sz="18" w:space="0" w:color="auto"/>
            </w:tcBorders>
            <w:shd w:val="clear" w:color="auto" w:fill="auto"/>
            <w:noWrap/>
            <w:vAlign w:val="center"/>
          </w:tcPr>
          <w:p w14:paraId="219372A9"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r>
      <w:tr w:rsidR="00084A42" w:rsidRPr="00D85472" w14:paraId="4D913DF5" w14:textId="77777777" w:rsidTr="00DB7ACB">
        <w:trPr>
          <w:trHeight w:val="326"/>
          <w:jc w:val="center"/>
        </w:trPr>
        <w:tc>
          <w:tcPr>
            <w:tcW w:w="2385" w:type="dxa"/>
            <w:tcBorders>
              <w:top w:val="nil"/>
              <w:left w:val="single" w:sz="18" w:space="0" w:color="auto"/>
              <w:right w:val="single" w:sz="18" w:space="0" w:color="auto"/>
            </w:tcBorders>
            <w:shd w:val="clear" w:color="auto" w:fill="auto"/>
            <w:noWrap/>
            <w:vAlign w:val="center"/>
          </w:tcPr>
          <w:p w14:paraId="62AB8E5D"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rho</w:t>
            </w:r>
          </w:p>
        </w:tc>
        <w:tc>
          <w:tcPr>
            <w:tcW w:w="1288" w:type="dxa"/>
            <w:tcBorders>
              <w:top w:val="nil"/>
              <w:left w:val="single" w:sz="18" w:space="0" w:color="auto"/>
              <w:right w:val="single" w:sz="18" w:space="0" w:color="auto"/>
            </w:tcBorders>
            <w:vAlign w:val="center"/>
          </w:tcPr>
          <w:p w14:paraId="6A816E62"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0.88128797</w:t>
            </w:r>
          </w:p>
        </w:tc>
        <w:tc>
          <w:tcPr>
            <w:tcW w:w="1288" w:type="dxa"/>
            <w:tcBorders>
              <w:top w:val="nil"/>
              <w:left w:val="single" w:sz="18" w:space="0" w:color="auto"/>
              <w:right w:val="single" w:sz="18" w:space="0" w:color="auto"/>
            </w:tcBorders>
            <w:shd w:val="clear" w:color="auto" w:fill="auto"/>
            <w:noWrap/>
            <w:vAlign w:val="center"/>
          </w:tcPr>
          <w:p w14:paraId="02749553"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0.73090557</w:t>
            </w:r>
          </w:p>
        </w:tc>
      </w:tr>
      <w:tr w:rsidR="00084A42" w:rsidRPr="00D85472" w14:paraId="53B039E2" w14:textId="77777777" w:rsidTr="00DB7ACB">
        <w:trPr>
          <w:trHeight w:val="326"/>
          <w:jc w:val="center"/>
        </w:trPr>
        <w:tc>
          <w:tcPr>
            <w:tcW w:w="2385" w:type="dxa"/>
            <w:tcBorders>
              <w:top w:val="nil"/>
              <w:left w:val="single" w:sz="18" w:space="0" w:color="auto"/>
              <w:bottom w:val="single" w:sz="18" w:space="0" w:color="auto"/>
              <w:right w:val="single" w:sz="18" w:space="0" w:color="auto"/>
            </w:tcBorders>
            <w:shd w:val="clear" w:color="auto" w:fill="auto"/>
            <w:noWrap/>
            <w:vAlign w:val="center"/>
          </w:tcPr>
          <w:p w14:paraId="5802D1AC" w14:textId="77777777" w:rsidR="00084A42" w:rsidRPr="00D85472" w:rsidRDefault="00084A42" w:rsidP="00DB7ACB">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Hausman test</w:t>
            </w:r>
          </w:p>
        </w:tc>
        <w:tc>
          <w:tcPr>
            <w:tcW w:w="1288" w:type="dxa"/>
            <w:tcBorders>
              <w:top w:val="nil"/>
              <w:left w:val="single" w:sz="18" w:space="0" w:color="auto"/>
              <w:bottom w:val="single" w:sz="18" w:space="0" w:color="auto"/>
              <w:right w:val="single" w:sz="18" w:space="0" w:color="auto"/>
            </w:tcBorders>
            <w:vAlign w:val="center"/>
          </w:tcPr>
          <w:p w14:paraId="7F329304"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negative</w:t>
            </w:r>
          </w:p>
        </w:tc>
        <w:tc>
          <w:tcPr>
            <w:tcW w:w="1288" w:type="dxa"/>
            <w:tcBorders>
              <w:top w:val="nil"/>
              <w:left w:val="single" w:sz="18" w:space="0" w:color="auto"/>
              <w:bottom w:val="single" w:sz="18" w:space="0" w:color="auto"/>
              <w:right w:val="single" w:sz="18" w:space="0" w:color="auto"/>
            </w:tcBorders>
            <w:shd w:val="clear" w:color="auto" w:fill="auto"/>
            <w:noWrap/>
            <w:vAlign w:val="center"/>
          </w:tcPr>
          <w:p w14:paraId="523EF0FF" w14:textId="77777777" w:rsidR="00084A42" w:rsidRPr="00D85472" w:rsidRDefault="00084A42" w:rsidP="00DB7ACB">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w:t>
            </w:r>
            <w:r w:rsidRPr="00D85472">
              <w:rPr>
                <w:rFonts w:eastAsia="Times New Roman" w:cs="Times New Roman"/>
                <w:color w:val="000000"/>
                <w:sz w:val="20"/>
                <w:szCs w:val="20"/>
                <w:lang w:val="en-GB"/>
              </w:rPr>
              <w:br/>
              <w:t xml:space="preserve">(p &lt; 0.05) </w:t>
            </w:r>
          </w:p>
        </w:tc>
      </w:tr>
    </w:tbl>
    <w:p w14:paraId="46CD2C54" w14:textId="77777777" w:rsidR="00084A42" w:rsidRPr="00D85472" w:rsidRDefault="00084A42" w:rsidP="00084A42">
      <w:pPr>
        <w:rPr>
          <w:lang w:val="en-GB"/>
        </w:rPr>
      </w:pPr>
    </w:p>
    <w:p w14:paraId="65503C23" w14:textId="521FFFD4" w:rsidR="00084A42" w:rsidRPr="00D85472" w:rsidRDefault="00084A42">
      <w:pPr>
        <w:rPr>
          <w:lang w:val="en-GB"/>
        </w:rPr>
      </w:pPr>
      <w:r w:rsidRPr="00D85472">
        <w:rPr>
          <w:lang w:val="en-GB"/>
        </w:rPr>
        <w:br w:type="page"/>
      </w:r>
    </w:p>
    <w:tbl>
      <w:tblPr>
        <w:tblW w:w="8627" w:type="dxa"/>
        <w:jc w:val="center"/>
        <w:tblLayout w:type="fixed"/>
        <w:tblLook w:val="04A0" w:firstRow="1" w:lastRow="0" w:firstColumn="1" w:lastColumn="0" w:noHBand="0" w:noVBand="1"/>
      </w:tblPr>
      <w:tblGrid>
        <w:gridCol w:w="2183"/>
        <w:gridCol w:w="1288"/>
        <w:gridCol w:w="1289"/>
        <w:gridCol w:w="1289"/>
        <w:gridCol w:w="1289"/>
        <w:gridCol w:w="1289"/>
      </w:tblGrid>
      <w:tr w:rsidR="009263CE" w:rsidRPr="00D85472" w14:paraId="6B2F554B" w14:textId="77777777" w:rsidTr="0021557D">
        <w:trPr>
          <w:trHeight w:val="326"/>
          <w:jc w:val="center"/>
        </w:trPr>
        <w:tc>
          <w:tcPr>
            <w:tcW w:w="8627" w:type="dxa"/>
            <w:gridSpan w:val="6"/>
            <w:tcBorders>
              <w:top w:val="single" w:sz="18" w:space="0" w:color="auto"/>
              <w:left w:val="single" w:sz="18" w:space="0" w:color="auto"/>
              <w:bottom w:val="single" w:sz="12" w:space="0" w:color="auto"/>
              <w:right w:val="single" w:sz="18" w:space="0" w:color="auto"/>
            </w:tcBorders>
            <w:shd w:val="clear" w:color="auto" w:fill="auto"/>
            <w:noWrap/>
            <w:vAlign w:val="center"/>
          </w:tcPr>
          <w:p w14:paraId="543E0AC0"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Dependent variable: SECA</w:t>
            </w:r>
          </w:p>
        </w:tc>
      </w:tr>
      <w:tr w:rsidR="009263CE" w:rsidRPr="00D85472" w14:paraId="1A0F117A" w14:textId="77777777" w:rsidTr="0021557D">
        <w:trPr>
          <w:trHeight w:val="326"/>
          <w:jc w:val="center"/>
        </w:trPr>
        <w:tc>
          <w:tcPr>
            <w:tcW w:w="2183" w:type="dxa"/>
            <w:tcBorders>
              <w:top w:val="single" w:sz="12" w:space="0" w:color="auto"/>
              <w:left w:val="single" w:sz="18" w:space="0" w:color="auto"/>
              <w:bottom w:val="single" w:sz="12" w:space="0" w:color="auto"/>
              <w:right w:val="single" w:sz="18" w:space="0" w:color="auto"/>
            </w:tcBorders>
            <w:shd w:val="clear" w:color="auto" w:fill="auto"/>
            <w:noWrap/>
            <w:vAlign w:val="center"/>
            <w:hideMark/>
          </w:tcPr>
          <w:p w14:paraId="11E80D85"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Independent variables</w:t>
            </w:r>
          </w:p>
        </w:tc>
        <w:tc>
          <w:tcPr>
            <w:tcW w:w="1288" w:type="dxa"/>
            <w:tcBorders>
              <w:top w:val="single" w:sz="12" w:space="0" w:color="auto"/>
              <w:left w:val="single" w:sz="18" w:space="0" w:color="auto"/>
              <w:bottom w:val="single" w:sz="12" w:space="0" w:color="auto"/>
              <w:right w:val="single" w:sz="18" w:space="0" w:color="auto"/>
            </w:tcBorders>
            <w:shd w:val="clear" w:color="auto" w:fill="auto"/>
            <w:noWrap/>
            <w:vAlign w:val="center"/>
          </w:tcPr>
          <w:p w14:paraId="0E5B50C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5</w:t>
            </w:r>
          </w:p>
        </w:tc>
        <w:tc>
          <w:tcPr>
            <w:tcW w:w="1289" w:type="dxa"/>
            <w:tcBorders>
              <w:top w:val="single" w:sz="12" w:space="0" w:color="auto"/>
              <w:left w:val="single" w:sz="12" w:space="0" w:color="auto"/>
              <w:bottom w:val="single" w:sz="12" w:space="0" w:color="auto"/>
              <w:right w:val="single" w:sz="18" w:space="0" w:color="auto"/>
            </w:tcBorders>
            <w:vAlign w:val="center"/>
          </w:tcPr>
          <w:p w14:paraId="6035C0B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5b</w:t>
            </w:r>
          </w:p>
        </w:tc>
        <w:tc>
          <w:tcPr>
            <w:tcW w:w="1289" w:type="dxa"/>
            <w:tcBorders>
              <w:top w:val="single" w:sz="12" w:space="0" w:color="auto"/>
              <w:left w:val="single" w:sz="12" w:space="0" w:color="auto"/>
              <w:bottom w:val="single" w:sz="12" w:space="0" w:color="auto"/>
              <w:right w:val="single" w:sz="18" w:space="0" w:color="auto"/>
            </w:tcBorders>
            <w:vAlign w:val="center"/>
          </w:tcPr>
          <w:p w14:paraId="093047E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5c</w:t>
            </w:r>
          </w:p>
        </w:tc>
        <w:tc>
          <w:tcPr>
            <w:tcW w:w="1289" w:type="dxa"/>
            <w:tcBorders>
              <w:top w:val="single" w:sz="12" w:space="0" w:color="auto"/>
              <w:left w:val="single" w:sz="12" w:space="0" w:color="auto"/>
              <w:bottom w:val="single" w:sz="12" w:space="0" w:color="auto"/>
              <w:right w:val="single" w:sz="18" w:space="0" w:color="auto"/>
            </w:tcBorders>
            <w:vAlign w:val="center"/>
          </w:tcPr>
          <w:p w14:paraId="1C439E6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5d</w:t>
            </w:r>
          </w:p>
        </w:tc>
        <w:tc>
          <w:tcPr>
            <w:tcW w:w="1289" w:type="dxa"/>
            <w:tcBorders>
              <w:top w:val="single" w:sz="12" w:space="0" w:color="auto"/>
              <w:left w:val="single" w:sz="12" w:space="0" w:color="auto"/>
              <w:bottom w:val="single" w:sz="12" w:space="0" w:color="auto"/>
              <w:right w:val="single" w:sz="18" w:space="0" w:color="auto"/>
            </w:tcBorders>
            <w:vAlign w:val="center"/>
          </w:tcPr>
          <w:p w14:paraId="69205FF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Model 6</w:t>
            </w:r>
          </w:p>
        </w:tc>
      </w:tr>
      <w:tr w:rsidR="009263CE" w:rsidRPr="00D85472" w14:paraId="5B7CF6FA"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tcPr>
          <w:p w14:paraId="4F1E415F"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Constant</w:t>
            </w:r>
          </w:p>
        </w:tc>
        <w:tc>
          <w:tcPr>
            <w:tcW w:w="1288" w:type="dxa"/>
            <w:tcBorders>
              <w:top w:val="nil"/>
              <w:left w:val="single" w:sz="18" w:space="0" w:color="auto"/>
              <w:bottom w:val="nil"/>
              <w:right w:val="single" w:sz="18" w:space="0" w:color="auto"/>
            </w:tcBorders>
            <w:shd w:val="clear" w:color="auto" w:fill="auto"/>
            <w:noWrap/>
            <w:vAlign w:val="center"/>
          </w:tcPr>
          <w:p w14:paraId="56BEC15C"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.3503678***</w:t>
            </w:r>
          </w:p>
        </w:tc>
        <w:tc>
          <w:tcPr>
            <w:tcW w:w="1289" w:type="dxa"/>
            <w:tcBorders>
              <w:top w:val="nil"/>
              <w:left w:val="single" w:sz="12" w:space="0" w:color="auto"/>
              <w:bottom w:val="nil"/>
              <w:right w:val="single" w:sz="18" w:space="0" w:color="auto"/>
            </w:tcBorders>
            <w:vAlign w:val="center"/>
          </w:tcPr>
          <w:p w14:paraId="6F0CDD2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.3584581***</w:t>
            </w:r>
          </w:p>
        </w:tc>
        <w:tc>
          <w:tcPr>
            <w:tcW w:w="1289" w:type="dxa"/>
            <w:tcBorders>
              <w:top w:val="nil"/>
              <w:left w:val="single" w:sz="12" w:space="0" w:color="auto"/>
              <w:bottom w:val="nil"/>
              <w:right w:val="single" w:sz="18" w:space="0" w:color="auto"/>
            </w:tcBorders>
            <w:vAlign w:val="center"/>
          </w:tcPr>
          <w:p w14:paraId="5B8E2A17"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.3503733***</w:t>
            </w:r>
          </w:p>
        </w:tc>
        <w:tc>
          <w:tcPr>
            <w:tcW w:w="1289" w:type="dxa"/>
            <w:tcBorders>
              <w:top w:val="nil"/>
              <w:left w:val="single" w:sz="12" w:space="0" w:color="auto"/>
              <w:bottom w:val="nil"/>
              <w:right w:val="single" w:sz="18" w:space="0" w:color="auto"/>
            </w:tcBorders>
            <w:vAlign w:val="center"/>
          </w:tcPr>
          <w:p w14:paraId="77F1A24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.3554744***</w:t>
            </w:r>
          </w:p>
        </w:tc>
        <w:tc>
          <w:tcPr>
            <w:tcW w:w="1289" w:type="dxa"/>
            <w:tcBorders>
              <w:top w:val="nil"/>
              <w:left w:val="single" w:sz="12" w:space="0" w:color="auto"/>
              <w:bottom w:val="nil"/>
              <w:right w:val="single" w:sz="18" w:space="0" w:color="auto"/>
            </w:tcBorders>
            <w:vAlign w:val="center"/>
          </w:tcPr>
          <w:p w14:paraId="0BEB432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.3766753***</w:t>
            </w:r>
          </w:p>
        </w:tc>
      </w:tr>
      <w:tr w:rsidR="009263CE" w:rsidRPr="00D85472" w14:paraId="1DA44664"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tcPr>
          <w:p w14:paraId="641BC8A8"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top w:val="nil"/>
              <w:left w:val="single" w:sz="18" w:space="0" w:color="auto"/>
              <w:bottom w:val="nil"/>
              <w:right w:val="single" w:sz="18" w:space="0" w:color="auto"/>
            </w:tcBorders>
            <w:shd w:val="clear" w:color="auto" w:fill="auto"/>
            <w:noWrap/>
            <w:vAlign w:val="center"/>
          </w:tcPr>
          <w:p w14:paraId="18EDCE3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(.0074397)</w:t>
            </w:r>
          </w:p>
        </w:tc>
        <w:tc>
          <w:tcPr>
            <w:tcW w:w="1289" w:type="dxa"/>
            <w:tcBorders>
              <w:top w:val="nil"/>
              <w:left w:val="single" w:sz="12" w:space="0" w:color="auto"/>
              <w:bottom w:val="nil"/>
              <w:right w:val="single" w:sz="18" w:space="0" w:color="auto"/>
            </w:tcBorders>
            <w:vAlign w:val="center"/>
          </w:tcPr>
          <w:p w14:paraId="760BFC9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(.0059805)</w:t>
            </w:r>
          </w:p>
        </w:tc>
        <w:tc>
          <w:tcPr>
            <w:tcW w:w="1289" w:type="dxa"/>
            <w:tcBorders>
              <w:top w:val="nil"/>
              <w:left w:val="single" w:sz="12" w:space="0" w:color="auto"/>
              <w:bottom w:val="nil"/>
              <w:right w:val="single" w:sz="18" w:space="0" w:color="auto"/>
            </w:tcBorders>
            <w:vAlign w:val="center"/>
          </w:tcPr>
          <w:p w14:paraId="44E7634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(.0074502)</w:t>
            </w:r>
          </w:p>
        </w:tc>
        <w:tc>
          <w:tcPr>
            <w:tcW w:w="1289" w:type="dxa"/>
            <w:tcBorders>
              <w:top w:val="nil"/>
              <w:left w:val="single" w:sz="12" w:space="0" w:color="auto"/>
              <w:bottom w:val="nil"/>
              <w:right w:val="single" w:sz="18" w:space="0" w:color="auto"/>
            </w:tcBorders>
            <w:vAlign w:val="center"/>
          </w:tcPr>
          <w:p w14:paraId="7BD7D2C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(.0057181)</w:t>
            </w:r>
          </w:p>
        </w:tc>
        <w:tc>
          <w:tcPr>
            <w:tcW w:w="1289" w:type="dxa"/>
            <w:tcBorders>
              <w:top w:val="nil"/>
              <w:left w:val="single" w:sz="12" w:space="0" w:color="auto"/>
              <w:bottom w:val="nil"/>
              <w:right w:val="single" w:sz="18" w:space="0" w:color="auto"/>
            </w:tcBorders>
            <w:vAlign w:val="center"/>
          </w:tcPr>
          <w:p w14:paraId="21BE53D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(.0045298)</w:t>
            </w:r>
          </w:p>
        </w:tc>
      </w:tr>
      <w:tr w:rsidR="009263CE" w:rsidRPr="00D85472" w14:paraId="42178EBD"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hideMark/>
          </w:tcPr>
          <w:p w14:paraId="422D1C88"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Inv6</w:t>
            </w:r>
          </w:p>
        </w:tc>
        <w:tc>
          <w:tcPr>
            <w:tcW w:w="1288" w:type="dxa"/>
            <w:tcBorders>
              <w:top w:val="nil"/>
              <w:left w:val="single" w:sz="18" w:space="0" w:color="auto"/>
              <w:bottom w:val="nil"/>
              <w:right w:val="single" w:sz="18" w:space="0" w:color="auto"/>
            </w:tcBorders>
            <w:shd w:val="clear" w:color="auto" w:fill="auto"/>
            <w:noWrap/>
            <w:vAlign w:val="center"/>
          </w:tcPr>
          <w:p w14:paraId="57AC5BB5"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-.010112***</w:t>
            </w:r>
          </w:p>
        </w:tc>
        <w:tc>
          <w:tcPr>
            <w:tcW w:w="1289" w:type="dxa"/>
            <w:tcBorders>
              <w:top w:val="nil"/>
              <w:left w:val="single" w:sz="12" w:space="0" w:color="auto"/>
              <w:bottom w:val="nil"/>
              <w:right w:val="single" w:sz="18" w:space="0" w:color="auto"/>
            </w:tcBorders>
            <w:vAlign w:val="center"/>
          </w:tcPr>
          <w:p w14:paraId="0A47017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-.005353***</w:t>
            </w:r>
          </w:p>
        </w:tc>
        <w:tc>
          <w:tcPr>
            <w:tcW w:w="1289" w:type="dxa"/>
            <w:tcBorders>
              <w:top w:val="nil"/>
              <w:left w:val="single" w:sz="12" w:space="0" w:color="auto"/>
              <w:bottom w:val="nil"/>
              <w:right w:val="single" w:sz="18" w:space="0" w:color="auto"/>
            </w:tcBorders>
            <w:vAlign w:val="center"/>
          </w:tcPr>
          <w:p w14:paraId="61106D2D"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-.010252***</w:t>
            </w:r>
          </w:p>
        </w:tc>
        <w:tc>
          <w:tcPr>
            <w:tcW w:w="1289" w:type="dxa"/>
            <w:tcBorders>
              <w:top w:val="nil"/>
              <w:left w:val="single" w:sz="12" w:space="0" w:color="auto"/>
              <w:bottom w:val="nil"/>
              <w:right w:val="single" w:sz="18" w:space="0" w:color="auto"/>
            </w:tcBorders>
            <w:vAlign w:val="center"/>
          </w:tcPr>
          <w:p w14:paraId="4E39389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-.007287***</w:t>
            </w:r>
          </w:p>
        </w:tc>
        <w:tc>
          <w:tcPr>
            <w:tcW w:w="1289" w:type="dxa"/>
            <w:tcBorders>
              <w:top w:val="nil"/>
              <w:left w:val="single" w:sz="12" w:space="0" w:color="auto"/>
              <w:bottom w:val="nil"/>
              <w:right w:val="single" w:sz="18" w:space="0" w:color="auto"/>
            </w:tcBorders>
            <w:vAlign w:val="center"/>
          </w:tcPr>
          <w:p w14:paraId="043D634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644FEC2D" w14:textId="77777777" w:rsidTr="0021557D">
        <w:trPr>
          <w:trHeight w:val="326"/>
          <w:jc w:val="center"/>
        </w:trPr>
        <w:tc>
          <w:tcPr>
            <w:tcW w:w="2183" w:type="dxa"/>
            <w:tcBorders>
              <w:top w:val="nil"/>
              <w:left w:val="single" w:sz="18" w:space="0" w:color="auto"/>
              <w:right w:val="single" w:sz="18" w:space="0" w:color="auto"/>
            </w:tcBorders>
            <w:shd w:val="clear" w:color="auto" w:fill="auto"/>
            <w:noWrap/>
            <w:vAlign w:val="center"/>
            <w:hideMark/>
          </w:tcPr>
          <w:p w14:paraId="1CCBB59D"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 </w:t>
            </w:r>
          </w:p>
        </w:tc>
        <w:tc>
          <w:tcPr>
            <w:tcW w:w="1288" w:type="dxa"/>
            <w:tcBorders>
              <w:top w:val="nil"/>
              <w:left w:val="single" w:sz="18" w:space="0" w:color="auto"/>
              <w:right w:val="single" w:sz="18" w:space="0" w:color="auto"/>
            </w:tcBorders>
            <w:shd w:val="clear" w:color="auto" w:fill="auto"/>
            <w:noWrap/>
            <w:vAlign w:val="center"/>
          </w:tcPr>
          <w:p w14:paraId="4E03106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(.0018172)</w:t>
            </w:r>
          </w:p>
        </w:tc>
        <w:tc>
          <w:tcPr>
            <w:tcW w:w="1289" w:type="dxa"/>
            <w:tcBorders>
              <w:top w:val="nil"/>
              <w:left w:val="single" w:sz="12" w:space="0" w:color="auto"/>
              <w:right w:val="single" w:sz="18" w:space="0" w:color="auto"/>
            </w:tcBorders>
            <w:vAlign w:val="center"/>
          </w:tcPr>
          <w:p w14:paraId="66999E2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(.0018203)</w:t>
            </w:r>
          </w:p>
        </w:tc>
        <w:tc>
          <w:tcPr>
            <w:tcW w:w="1289" w:type="dxa"/>
            <w:tcBorders>
              <w:top w:val="nil"/>
              <w:left w:val="single" w:sz="12" w:space="0" w:color="auto"/>
              <w:right w:val="single" w:sz="18" w:space="0" w:color="auto"/>
            </w:tcBorders>
            <w:vAlign w:val="center"/>
          </w:tcPr>
          <w:p w14:paraId="2E56253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(.0019848)</w:t>
            </w:r>
          </w:p>
        </w:tc>
        <w:tc>
          <w:tcPr>
            <w:tcW w:w="1289" w:type="dxa"/>
            <w:tcBorders>
              <w:top w:val="nil"/>
              <w:left w:val="single" w:sz="12" w:space="0" w:color="auto"/>
              <w:right w:val="single" w:sz="18" w:space="0" w:color="auto"/>
            </w:tcBorders>
            <w:vAlign w:val="center"/>
          </w:tcPr>
          <w:p w14:paraId="39DEE5B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(.0018538)</w:t>
            </w:r>
          </w:p>
        </w:tc>
        <w:tc>
          <w:tcPr>
            <w:tcW w:w="1289" w:type="dxa"/>
            <w:tcBorders>
              <w:top w:val="nil"/>
              <w:left w:val="single" w:sz="12" w:space="0" w:color="auto"/>
              <w:right w:val="single" w:sz="18" w:space="0" w:color="auto"/>
            </w:tcBorders>
            <w:vAlign w:val="center"/>
          </w:tcPr>
          <w:p w14:paraId="3720119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023040BA"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69247321" w14:textId="77777777" w:rsidR="009263CE" w:rsidRPr="00D85472" w:rsidRDefault="009263CE" w:rsidP="0021557D">
            <w:pPr>
              <w:spacing w:after="0" w:line="240" w:lineRule="auto"/>
              <w:rPr>
                <w:rFonts w:eastAsia="Times New Roman" w:cs="Times New Roman"/>
                <w:color w:val="000000"/>
                <w:sz w:val="20"/>
                <w:szCs w:val="20"/>
                <w:lang w:val="en-GB"/>
              </w:rPr>
            </w:pPr>
            <w:proofErr w:type="spellStart"/>
            <w:r w:rsidRPr="00D85472">
              <w:rPr>
                <w:rFonts w:eastAsia="Times New Roman" w:cs="Times New Roman"/>
                <w:color w:val="000000"/>
                <w:sz w:val="20"/>
                <w:szCs w:val="20"/>
                <w:lang w:val="en-GB"/>
              </w:rPr>
              <w:t>SubsidyD</w:t>
            </w:r>
            <w:proofErr w:type="spellEnd"/>
          </w:p>
        </w:tc>
        <w:tc>
          <w:tcPr>
            <w:tcW w:w="1288" w:type="dxa"/>
            <w:tcBorders>
              <w:left w:val="single" w:sz="18" w:space="0" w:color="auto"/>
              <w:right w:val="single" w:sz="18" w:space="0" w:color="auto"/>
            </w:tcBorders>
            <w:shd w:val="clear" w:color="auto" w:fill="auto"/>
            <w:noWrap/>
            <w:vAlign w:val="center"/>
          </w:tcPr>
          <w:p w14:paraId="3661B1B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5CEAEB67"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-.095450***</w:t>
            </w:r>
          </w:p>
        </w:tc>
        <w:tc>
          <w:tcPr>
            <w:tcW w:w="1289" w:type="dxa"/>
            <w:tcBorders>
              <w:left w:val="single" w:sz="12" w:space="0" w:color="auto"/>
              <w:right w:val="single" w:sz="18" w:space="0" w:color="auto"/>
            </w:tcBorders>
            <w:vAlign w:val="center"/>
          </w:tcPr>
          <w:p w14:paraId="3B55C448"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6457CD47"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176B15C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4E92427C"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102FDE97"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shd w:val="clear" w:color="auto" w:fill="auto"/>
            <w:noWrap/>
            <w:vAlign w:val="center"/>
          </w:tcPr>
          <w:p w14:paraId="177AF11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6280E77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(.0167314)</w:t>
            </w:r>
          </w:p>
        </w:tc>
        <w:tc>
          <w:tcPr>
            <w:tcW w:w="1289" w:type="dxa"/>
            <w:tcBorders>
              <w:left w:val="single" w:sz="12" w:space="0" w:color="auto"/>
              <w:right w:val="single" w:sz="18" w:space="0" w:color="auto"/>
            </w:tcBorders>
            <w:vAlign w:val="center"/>
          </w:tcPr>
          <w:p w14:paraId="063C725D"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57FBFAC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78CF94F4"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1848CD47"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5C0D73F9"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SubsidyCZK6</w:t>
            </w:r>
          </w:p>
        </w:tc>
        <w:tc>
          <w:tcPr>
            <w:tcW w:w="1288" w:type="dxa"/>
            <w:tcBorders>
              <w:left w:val="single" w:sz="18" w:space="0" w:color="auto"/>
              <w:right w:val="single" w:sz="18" w:space="0" w:color="auto"/>
            </w:tcBorders>
            <w:shd w:val="clear" w:color="auto" w:fill="auto"/>
            <w:noWrap/>
            <w:vAlign w:val="center"/>
          </w:tcPr>
          <w:p w14:paraId="0B270B0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73DDB5E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1B98FE0C"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.0016141</w:t>
            </w:r>
          </w:p>
        </w:tc>
        <w:tc>
          <w:tcPr>
            <w:tcW w:w="1289" w:type="dxa"/>
            <w:tcBorders>
              <w:left w:val="single" w:sz="12" w:space="0" w:color="auto"/>
              <w:right w:val="single" w:sz="18" w:space="0" w:color="auto"/>
            </w:tcBorders>
            <w:vAlign w:val="center"/>
          </w:tcPr>
          <w:p w14:paraId="5756C7A2"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-.0052588</w:t>
            </w:r>
          </w:p>
        </w:tc>
        <w:tc>
          <w:tcPr>
            <w:tcW w:w="1289" w:type="dxa"/>
            <w:tcBorders>
              <w:left w:val="single" w:sz="12" w:space="0" w:color="auto"/>
              <w:right w:val="single" w:sz="18" w:space="0" w:color="auto"/>
            </w:tcBorders>
            <w:vAlign w:val="center"/>
          </w:tcPr>
          <w:p w14:paraId="3735715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3C412994"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3BF7CDA6"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shd w:val="clear" w:color="auto" w:fill="auto"/>
            <w:noWrap/>
            <w:vAlign w:val="center"/>
          </w:tcPr>
          <w:p w14:paraId="2C991D44"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090489E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0E2A3DD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(.0088519)</w:t>
            </w:r>
          </w:p>
        </w:tc>
        <w:tc>
          <w:tcPr>
            <w:tcW w:w="1289" w:type="dxa"/>
            <w:tcBorders>
              <w:left w:val="single" w:sz="12" w:space="0" w:color="auto"/>
              <w:right w:val="single" w:sz="18" w:space="0" w:color="auto"/>
            </w:tcBorders>
            <w:vAlign w:val="center"/>
          </w:tcPr>
          <w:p w14:paraId="0593A81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(.0101095)</w:t>
            </w:r>
          </w:p>
        </w:tc>
        <w:tc>
          <w:tcPr>
            <w:tcW w:w="1289" w:type="dxa"/>
            <w:tcBorders>
              <w:left w:val="single" w:sz="12" w:space="0" w:color="auto"/>
              <w:right w:val="single" w:sz="18" w:space="0" w:color="auto"/>
            </w:tcBorders>
            <w:vAlign w:val="center"/>
          </w:tcPr>
          <w:p w14:paraId="0CA54B2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07DE8D84"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2AE4E9C2" w14:textId="77777777" w:rsidR="009263CE" w:rsidRPr="00D85472" w:rsidRDefault="009263CE" w:rsidP="0021557D">
            <w:pPr>
              <w:spacing w:after="0" w:line="240" w:lineRule="auto"/>
              <w:rPr>
                <w:rFonts w:eastAsia="Times New Roman" w:cs="Times New Roman"/>
                <w:color w:val="000000"/>
                <w:sz w:val="20"/>
                <w:szCs w:val="20"/>
                <w:lang w:val="en-GB"/>
              </w:rPr>
            </w:pPr>
            <w:proofErr w:type="spellStart"/>
            <w:r w:rsidRPr="00D85472">
              <w:rPr>
                <w:rFonts w:eastAsia="Times New Roman" w:cs="Times New Roman"/>
                <w:color w:val="000000"/>
                <w:sz w:val="20"/>
                <w:szCs w:val="20"/>
                <w:lang w:val="en-GB"/>
              </w:rPr>
              <w:t>SubsidyIR</w:t>
            </w:r>
            <w:proofErr w:type="spellEnd"/>
          </w:p>
        </w:tc>
        <w:tc>
          <w:tcPr>
            <w:tcW w:w="1288" w:type="dxa"/>
            <w:tcBorders>
              <w:left w:val="single" w:sz="18" w:space="0" w:color="auto"/>
              <w:right w:val="single" w:sz="18" w:space="0" w:color="auto"/>
            </w:tcBorders>
            <w:shd w:val="clear" w:color="auto" w:fill="auto"/>
            <w:noWrap/>
            <w:vAlign w:val="center"/>
          </w:tcPr>
          <w:p w14:paraId="2AE88CE5"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367209BB"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4FEC0AEC"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2D6BDE38"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-.077378***</w:t>
            </w:r>
          </w:p>
        </w:tc>
        <w:tc>
          <w:tcPr>
            <w:tcW w:w="1289" w:type="dxa"/>
            <w:tcBorders>
              <w:left w:val="single" w:sz="12" w:space="0" w:color="auto"/>
              <w:right w:val="single" w:sz="18" w:space="0" w:color="auto"/>
            </w:tcBorders>
            <w:vAlign w:val="center"/>
          </w:tcPr>
          <w:p w14:paraId="1E38E60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60B08680"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7FE7C00A"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shd w:val="clear" w:color="auto" w:fill="auto"/>
            <w:noWrap/>
            <w:vAlign w:val="center"/>
          </w:tcPr>
          <w:p w14:paraId="78BF3D9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5BAA8A5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388B212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4C828E75"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(.0212963)</w:t>
            </w:r>
          </w:p>
        </w:tc>
        <w:tc>
          <w:tcPr>
            <w:tcW w:w="1289" w:type="dxa"/>
            <w:tcBorders>
              <w:left w:val="single" w:sz="12" w:space="0" w:color="auto"/>
              <w:right w:val="single" w:sz="18" w:space="0" w:color="auto"/>
            </w:tcBorders>
            <w:vAlign w:val="center"/>
          </w:tcPr>
          <w:p w14:paraId="47A0036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r>
      <w:tr w:rsidR="009263CE" w:rsidRPr="00D85472" w14:paraId="0AC95E21"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6F24B9C8"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PROJECT</w:t>
            </w:r>
          </w:p>
        </w:tc>
        <w:tc>
          <w:tcPr>
            <w:tcW w:w="1288" w:type="dxa"/>
            <w:tcBorders>
              <w:left w:val="single" w:sz="18" w:space="0" w:color="auto"/>
              <w:right w:val="single" w:sz="18" w:space="0" w:color="auto"/>
            </w:tcBorders>
            <w:shd w:val="clear" w:color="auto" w:fill="auto"/>
            <w:noWrap/>
            <w:vAlign w:val="center"/>
          </w:tcPr>
          <w:p w14:paraId="6EF8335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42D5F927"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25C42CB4"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71F3BF9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2F09172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-.139641***</w:t>
            </w:r>
          </w:p>
        </w:tc>
      </w:tr>
      <w:tr w:rsidR="009263CE" w:rsidRPr="00D85472" w14:paraId="109C4A0D"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6A2CC53E"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left w:val="single" w:sz="18" w:space="0" w:color="auto"/>
              <w:right w:val="single" w:sz="18" w:space="0" w:color="auto"/>
            </w:tcBorders>
            <w:shd w:val="clear" w:color="auto" w:fill="auto"/>
            <w:noWrap/>
            <w:vAlign w:val="center"/>
          </w:tcPr>
          <w:p w14:paraId="5297D0A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252BD362"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1D592C1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00FD783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16FA04F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(.0098757)</w:t>
            </w:r>
          </w:p>
        </w:tc>
      </w:tr>
      <w:tr w:rsidR="009263CE" w:rsidRPr="00D85472" w14:paraId="6F9077BE" w14:textId="77777777" w:rsidTr="0021557D">
        <w:trPr>
          <w:trHeight w:val="326"/>
          <w:jc w:val="center"/>
        </w:trPr>
        <w:tc>
          <w:tcPr>
            <w:tcW w:w="2183" w:type="dxa"/>
            <w:tcBorders>
              <w:left w:val="single" w:sz="18" w:space="0" w:color="auto"/>
              <w:right w:val="single" w:sz="18" w:space="0" w:color="auto"/>
            </w:tcBorders>
            <w:shd w:val="clear" w:color="auto" w:fill="auto"/>
            <w:noWrap/>
            <w:vAlign w:val="center"/>
          </w:tcPr>
          <w:p w14:paraId="56D1920D"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Share1</w:t>
            </w:r>
          </w:p>
        </w:tc>
        <w:tc>
          <w:tcPr>
            <w:tcW w:w="1288" w:type="dxa"/>
            <w:tcBorders>
              <w:left w:val="single" w:sz="18" w:space="0" w:color="auto"/>
              <w:right w:val="single" w:sz="18" w:space="0" w:color="auto"/>
            </w:tcBorders>
            <w:shd w:val="clear" w:color="auto" w:fill="auto"/>
            <w:noWrap/>
            <w:vAlign w:val="center"/>
          </w:tcPr>
          <w:p w14:paraId="40DCDD3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741E888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52677F53"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678C717C"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right w:val="single" w:sz="18" w:space="0" w:color="auto"/>
            </w:tcBorders>
            <w:vAlign w:val="center"/>
          </w:tcPr>
          <w:p w14:paraId="11EA963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.0041084</w:t>
            </w:r>
          </w:p>
        </w:tc>
      </w:tr>
      <w:tr w:rsidR="009263CE" w:rsidRPr="00D85472" w14:paraId="0154494E" w14:textId="77777777" w:rsidTr="0021557D">
        <w:trPr>
          <w:trHeight w:val="326"/>
          <w:jc w:val="center"/>
        </w:trPr>
        <w:tc>
          <w:tcPr>
            <w:tcW w:w="2183" w:type="dxa"/>
            <w:tcBorders>
              <w:left w:val="single" w:sz="18" w:space="0" w:color="auto"/>
              <w:bottom w:val="single" w:sz="4" w:space="0" w:color="auto"/>
              <w:right w:val="single" w:sz="18" w:space="0" w:color="auto"/>
            </w:tcBorders>
            <w:shd w:val="clear" w:color="auto" w:fill="auto"/>
            <w:noWrap/>
            <w:vAlign w:val="center"/>
          </w:tcPr>
          <w:p w14:paraId="144E98BB" w14:textId="77777777" w:rsidR="009263CE" w:rsidRPr="00D85472" w:rsidRDefault="009263CE" w:rsidP="0021557D">
            <w:pPr>
              <w:spacing w:after="0" w:line="240" w:lineRule="auto"/>
              <w:rPr>
                <w:rFonts w:eastAsia="Times New Roman" w:cs="Times New Roman"/>
                <w:color w:val="000000"/>
                <w:sz w:val="20"/>
                <w:szCs w:val="20"/>
                <w:lang w:val="en-GB"/>
              </w:rPr>
            </w:pPr>
          </w:p>
        </w:tc>
        <w:tc>
          <w:tcPr>
            <w:tcW w:w="1288" w:type="dxa"/>
            <w:tcBorders>
              <w:left w:val="single" w:sz="18" w:space="0" w:color="auto"/>
              <w:bottom w:val="single" w:sz="4" w:space="0" w:color="auto"/>
              <w:right w:val="single" w:sz="18" w:space="0" w:color="auto"/>
            </w:tcBorders>
            <w:shd w:val="clear" w:color="auto" w:fill="auto"/>
            <w:noWrap/>
            <w:vAlign w:val="center"/>
          </w:tcPr>
          <w:p w14:paraId="2645F635"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4" w:space="0" w:color="auto"/>
              <w:right w:val="single" w:sz="18" w:space="0" w:color="auto"/>
            </w:tcBorders>
            <w:vAlign w:val="center"/>
          </w:tcPr>
          <w:p w14:paraId="6503128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4" w:space="0" w:color="auto"/>
              <w:right w:val="single" w:sz="18" w:space="0" w:color="auto"/>
            </w:tcBorders>
            <w:vAlign w:val="center"/>
          </w:tcPr>
          <w:p w14:paraId="41EB165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4" w:space="0" w:color="auto"/>
              <w:right w:val="single" w:sz="18" w:space="0" w:color="auto"/>
            </w:tcBorders>
            <w:vAlign w:val="center"/>
          </w:tcPr>
          <w:p w14:paraId="72C407A0"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w:t>
            </w:r>
          </w:p>
        </w:tc>
        <w:tc>
          <w:tcPr>
            <w:tcW w:w="1289" w:type="dxa"/>
            <w:tcBorders>
              <w:left w:val="single" w:sz="12" w:space="0" w:color="auto"/>
              <w:bottom w:val="single" w:sz="4" w:space="0" w:color="auto"/>
              <w:right w:val="single" w:sz="18" w:space="0" w:color="auto"/>
            </w:tcBorders>
            <w:vAlign w:val="center"/>
          </w:tcPr>
          <w:p w14:paraId="65657C0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(.0034638)</w:t>
            </w:r>
          </w:p>
        </w:tc>
      </w:tr>
      <w:tr w:rsidR="009263CE" w:rsidRPr="00D85472" w14:paraId="1771D749"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tcPr>
          <w:p w14:paraId="198CD542"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Fixed effects</w:t>
            </w:r>
          </w:p>
        </w:tc>
        <w:tc>
          <w:tcPr>
            <w:tcW w:w="1288" w:type="dxa"/>
            <w:tcBorders>
              <w:top w:val="nil"/>
              <w:left w:val="single" w:sz="18" w:space="0" w:color="auto"/>
              <w:bottom w:val="nil"/>
              <w:right w:val="single" w:sz="18" w:space="0" w:color="auto"/>
            </w:tcBorders>
            <w:shd w:val="clear" w:color="auto" w:fill="auto"/>
            <w:noWrap/>
            <w:vAlign w:val="center"/>
          </w:tcPr>
          <w:p w14:paraId="4ADE06FD"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nil"/>
              <w:left w:val="single" w:sz="12" w:space="0" w:color="auto"/>
              <w:bottom w:val="nil"/>
              <w:right w:val="single" w:sz="18" w:space="0" w:color="auto"/>
            </w:tcBorders>
            <w:vAlign w:val="center"/>
          </w:tcPr>
          <w:p w14:paraId="42BEFE3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nil"/>
              <w:left w:val="single" w:sz="12" w:space="0" w:color="auto"/>
              <w:bottom w:val="nil"/>
              <w:right w:val="single" w:sz="18" w:space="0" w:color="auto"/>
            </w:tcBorders>
            <w:vAlign w:val="center"/>
          </w:tcPr>
          <w:p w14:paraId="342BBED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nil"/>
              <w:left w:val="single" w:sz="12" w:space="0" w:color="auto"/>
              <w:bottom w:val="nil"/>
              <w:right w:val="single" w:sz="18" w:space="0" w:color="auto"/>
            </w:tcBorders>
            <w:vAlign w:val="center"/>
          </w:tcPr>
          <w:p w14:paraId="0D458B7D"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c>
          <w:tcPr>
            <w:tcW w:w="1289" w:type="dxa"/>
            <w:tcBorders>
              <w:top w:val="nil"/>
              <w:left w:val="single" w:sz="12" w:space="0" w:color="auto"/>
              <w:bottom w:val="nil"/>
              <w:right w:val="single" w:sz="18" w:space="0" w:color="auto"/>
            </w:tcBorders>
            <w:vAlign w:val="center"/>
          </w:tcPr>
          <w:p w14:paraId="4004E92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yes</w:t>
            </w:r>
          </w:p>
        </w:tc>
      </w:tr>
      <w:tr w:rsidR="009263CE" w:rsidRPr="00D85472" w14:paraId="0BEA5AED"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tcPr>
          <w:p w14:paraId="055CDBFF"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R-squared</w:t>
            </w:r>
          </w:p>
        </w:tc>
        <w:tc>
          <w:tcPr>
            <w:tcW w:w="1288" w:type="dxa"/>
            <w:tcBorders>
              <w:top w:val="nil"/>
              <w:left w:val="single" w:sz="18" w:space="0" w:color="auto"/>
              <w:bottom w:val="nil"/>
              <w:right w:val="single" w:sz="18" w:space="0" w:color="auto"/>
            </w:tcBorders>
            <w:shd w:val="clear" w:color="auto" w:fill="auto"/>
            <w:noWrap/>
            <w:vAlign w:val="center"/>
          </w:tcPr>
          <w:p w14:paraId="56707C42"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0.7956</w:t>
            </w:r>
          </w:p>
        </w:tc>
        <w:tc>
          <w:tcPr>
            <w:tcW w:w="1289" w:type="dxa"/>
            <w:tcBorders>
              <w:top w:val="nil"/>
              <w:left w:val="single" w:sz="12" w:space="0" w:color="auto"/>
              <w:bottom w:val="nil"/>
              <w:right w:val="single" w:sz="18" w:space="0" w:color="auto"/>
            </w:tcBorders>
            <w:vAlign w:val="center"/>
          </w:tcPr>
          <w:p w14:paraId="345BD9C7"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0.8387</w:t>
            </w:r>
          </w:p>
        </w:tc>
        <w:tc>
          <w:tcPr>
            <w:tcW w:w="1289" w:type="dxa"/>
            <w:tcBorders>
              <w:top w:val="nil"/>
              <w:left w:val="single" w:sz="12" w:space="0" w:color="auto"/>
              <w:bottom w:val="nil"/>
              <w:right w:val="single" w:sz="18" w:space="0" w:color="auto"/>
            </w:tcBorders>
            <w:vAlign w:val="center"/>
          </w:tcPr>
          <w:p w14:paraId="42BE6D0D"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0.7957</w:t>
            </w:r>
          </w:p>
        </w:tc>
        <w:tc>
          <w:tcPr>
            <w:tcW w:w="1289" w:type="dxa"/>
            <w:tcBorders>
              <w:top w:val="nil"/>
              <w:left w:val="single" w:sz="12" w:space="0" w:color="auto"/>
              <w:bottom w:val="nil"/>
              <w:right w:val="single" w:sz="18" w:space="0" w:color="auto"/>
            </w:tcBorders>
            <w:vAlign w:val="center"/>
          </w:tcPr>
          <w:p w14:paraId="1E6A69A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0.8239</w:t>
            </w:r>
          </w:p>
        </w:tc>
        <w:tc>
          <w:tcPr>
            <w:tcW w:w="1289" w:type="dxa"/>
            <w:tcBorders>
              <w:top w:val="nil"/>
              <w:left w:val="single" w:sz="12" w:space="0" w:color="auto"/>
              <w:bottom w:val="nil"/>
              <w:right w:val="single" w:sz="18" w:space="0" w:color="auto"/>
            </w:tcBorders>
            <w:vAlign w:val="center"/>
          </w:tcPr>
          <w:p w14:paraId="73652FD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0.9117</w:t>
            </w:r>
          </w:p>
        </w:tc>
      </w:tr>
      <w:tr w:rsidR="009263CE" w:rsidRPr="00D85472" w14:paraId="01C85A24" w14:textId="77777777" w:rsidTr="0021557D">
        <w:trPr>
          <w:trHeight w:val="326"/>
          <w:jc w:val="center"/>
        </w:trPr>
        <w:tc>
          <w:tcPr>
            <w:tcW w:w="2183" w:type="dxa"/>
            <w:tcBorders>
              <w:top w:val="nil"/>
              <w:left w:val="single" w:sz="18" w:space="0" w:color="auto"/>
              <w:right w:val="single" w:sz="18" w:space="0" w:color="auto"/>
            </w:tcBorders>
            <w:shd w:val="clear" w:color="auto" w:fill="auto"/>
            <w:noWrap/>
            <w:vAlign w:val="center"/>
          </w:tcPr>
          <w:p w14:paraId="38AEF291"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observations</w:t>
            </w:r>
          </w:p>
        </w:tc>
        <w:tc>
          <w:tcPr>
            <w:tcW w:w="1288" w:type="dxa"/>
            <w:tcBorders>
              <w:top w:val="nil"/>
              <w:left w:val="single" w:sz="18" w:space="0" w:color="auto"/>
              <w:right w:val="single" w:sz="18" w:space="0" w:color="auto"/>
            </w:tcBorders>
            <w:shd w:val="clear" w:color="auto" w:fill="auto"/>
            <w:noWrap/>
            <w:vAlign w:val="center"/>
          </w:tcPr>
          <w:p w14:paraId="2A9C6E8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4E4A1B2C"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0C013BCF"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266018F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c>
          <w:tcPr>
            <w:tcW w:w="1289" w:type="dxa"/>
            <w:tcBorders>
              <w:top w:val="nil"/>
              <w:left w:val="single" w:sz="12" w:space="0" w:color="auto"/>
              <w:right w:val="single" w:sz="18" w:space="0" w:color="auto"/>
            </w:tcBorders>
            <w:vAlign w:val="center"/>
          </w:tcPr>
          <w:p w14:paraId="4FAB82D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270</w:t>
            </w:r>
          </w:p>
        </w:tc>
      </w:tr>
      <w:tr w:rsidR="009263CE" w:rsidRPr="00D85472" w14:paraId="7C692565" w14:textId="77777777" w:rsidTr="0021557D">
        <w:trPr>
          <w:trHeight w:val="326"/>
          <w:jc w:val="center"/>
        </w:trPr>
        <w:tc>
          <w:tcPr>
            <w:tcW w:w="2183" w:type="dxa"/>
            <w:tcBorders>
              <w:top w:val="nil"/>
              <w:left w:val="single" w:sz="18" w:space="0" w:color="auto"/>
              <w:bottom w:val="nil"/>
              <w:right w:val="single" w:sz="18" w:space="0" w:color="auto"/>
            </w:tcBorders>
            <w:shd w:val="clear" w:color="auto" w:fill="auto"/>
            <w:noWrap/>
            <w:vAlign w:val="center"/>
            <w:hideMark/>
          </w:tcPr>
          <w:p w14:paraId="7E36C23C"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Number of groups</w:t>
            </w:r>
          </w:p>
        </w:tc>
        <w:tc>
          <w:tcPr>
            <w:tcW w:w="1288" w:type="dxa"/>
            <w:tcBorders>
              <w:top w:val="nil"/>
              <w:left w:val="single" w:sz="18" w:space="0" w:color="auto"/>
              <w:bottom w:val="nil"/>
              <w:right w:val="single" w:sz="18" w:space="0" w:color="auto"/>
            </w:tcBorders>
            <w:shd w:val="clear" w:color="auto" w:fill="auto"/>
            <w:noWrap/>
            <w:vAlign w:val="center"/>
          </w:tcPr>
          <w:p w14:paraId="15C6699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77CE998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4BE3D22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7E02691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c>
          <w:tcPr>
            <w:tcW w:w="1289" w:type="dxa"/>
            <w:tcBorders>
              <w:top w:val="nil"/>
              <w:left w:val="single" w:sz="12" w:space="0" w:color="auto"/>
              <w:bottom w:val="nil"/>
              <w:right w:val="single" w:sz="18" w:space="0" w:color="auto"/>
            </w:tcBorders>
            <w:vAlign w:val="center"/>
          </w:tcPr>
          <w:p w14:paraId="3D86EE1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45</w:t>
            </w:r>
          </w:p>
        </w:tc>
      </w:tr>
      <w:tr w:rsidR="009263CE" w:rsidRPr="00D85472" w14:paraId="43546582" w14:textId="77777777" w:rsidTr="0021557D">
        <w:trPr>
          <w:trHeight w:val="326"/>
          <w:jc w:val="center"/>
        </w:trPr>
        <w:tc>
          <w:tcPr>
            <w:tcW w:w="2183" w:type="dxa"/>
            <w:tcBorders>
              <w:top w:val="nil"/>
              <w:left w:val="single" w:sz="18" w:space="0" w:color="auto"/>
              <w:right w:val="single" w:sz="18" w:space="0" w:color="auto"/>
            </w:tcBorders>
            <w:shd w:val="clear" w:color="auto" w:fill="auto"/>
            <w:noWrap/>
            <w:vAlign w:val="center"/>
            <w:hideMark/>
          </w:tcPr>
          <w:p w14:paraId="68CC9E9B"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Rho</w:t>
            </w:r>
          </w:p>
        </w:tc>
        <w:tc>
          <w:tcPr>
            <w:tcW w:w="1288" w:type="dxa"/>
            <w:tcBorders>
              <w:top w:val="nil"/>
              <w:left w:val="single" w:sz="18" w:space="0" w:color="auto"/>
              <w:right w:val="single" w:sz="18" w:space="0" w:color="auto"/>
            </w:tcBorders>
            <w:shd w:val="clear" w:color="auto" w:fill="auto"/>
            <w:noWrap/>
            <w:vAlign w:val="center"/>
          </w:tcPr>
          <w:p w14:paraId="0CED978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0.69154907</w:t>
            </w:r>
          </w:p>
        </w:tc>
        <w:tc>
          <w:tcPr>
            <w:tcW w:w="1289" w:type="dxa"/>
            <w:tcBorders>
              <w:top w:val="nil"/>
              <w:left w:val="single" w:sz="12" w:space="0" w:color="auto"/>
              <w:right w:val="single" w:sz="18" w:space="0" w:color="auto"/>
            </w:tcBorders>
            <w:vAlign w:val="center"/>
          </w:tcPr>
          <w:p w14:paraId="11DAA2C9"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0.77321589</w:t>
            </w:r>
          </w:p>
        </w:tc>
        <w:tc>
          <w:tcPr>
            <w:tcW w:w="1289" w:type="dxa"/>
            <w:tcBorders>
              <w:top w:val="nil"/>
              <w:left w:val="single" w:sz="12" w:space="0" w:color="auto"/>
              <w:right w:val="single" w:sz="18" w:space="0" w:color="auto"/>
            </w:tcBorders>
            <w:vAlign w:val="center"/>
          </w:tcPr>
          <w:p w14:paraId="0BA3A7DA"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0.69126279</w:t>
            </w:r>
          </w:p>
        </w:tc>
        <w:tc>
          <w:tcPr>
            <w:tcW w:w="1289" w:type="dxa"/>
            <w:tcBorders>
              <w:top w:val="nil"/>
              <w:left w:val="single" w:sz="12" w:space="0" w:color="auto"/>
              <w:right w:val="single" w:sz="18" w:space="0" w:color="auto"/>
            </w:tcBorders>
            <w:vAlign w:val="center"/>
          </w:tcPr>
          <w:p w14:paraId="206B1DD4"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0.75156235</w:t>
            </w:r>
          </w:p>
        </w:tc>
        <w:tc>
          <w:tcPr>
            <w:tcW w:w="1289" w:type="dxa"/>
            <w:tcBorders>
              <w:top w:val="nil"/>
              <w:left w:val="single" w:sz="12" w:space="0" w:color="auto"/>
              <w:right w:val="single" w:sz="18" w:space="0" w:color="auto"/>
            </w:tcBorders>
            <w:vAlign w:val="center"/>
          </w:tcPr>
          <w:p w14:paraId="48641A5E"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0.86170284</w:t>
            </w:r>
          </w:p>
        </w:tc>
      </w:tr>
      <w:tr w:rsidR="009263CE" w:rsidRPr="00D85472" w14:paraId="357A098C" w14:textId="77777777" w:rsidTr="0021557D">
        <w:trPr>
          <w:trHeight w:val="341"/>
          <w:jc w:val="center"/>
        </w:trPr>
        <w:tc>
          <w:tcPr>
            <w:tcW w:w="2183" w:type="dxa"/>
            <w:tcBorders>
              <w:top w:val="nil"/>
              <w:left w:val="single" w:sz="18" w:space="0" w:color="auto"/>
              <w:bottom w:val="single" w:sz="18" w:space="0" w:color="auto"/>
              <w:right w:val="single" w:sz="18" w:space="0" w:color="auto"/>
            </w:tcBorders>
            <w:shd w:val="clear" w:color="auto" w:fill="auto"/>
            <w:noWrap/>
            <w:vAlign w:val="center"/>
            <w:hideMark/>
          </w:tcPr>
          <w:p w14:paraId="17C71282" w14:textId="77777777" w:rsidR="009263CE" w:rsidRPr="00D85472" w:rsidRDefault="009263CE" w:rsidP="0021557D">
            <w:pPr>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Hausman test</w:t>
            </w:r>
          </w:p>
        </w:tc>
        <w:tc>
          <w:tcPr>
            <w:tcW w:w="1288" w:type="dxa"/>
            <w:tcBorders>
              <w:top w:val="nil"/>
              <w:left w:val="single" w:sz="18" w:space="0" w:color="auto"/>
              <w:bottom w:val="single" w:sz="18" w:space="0" w:color="auto"/>
              <w:right w:val="single" w:sz="18" w:space="0" w:color="auto"/>
            </w:tcBorders>
            <w:shd w:val="clear" w:color="auto" w:fill="auto"/>
            <w:noWrap/>
            <w:vAlign w:val="center"/>
          </w:tcPr>
          <w:p w14:paraId="4B1DB661"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fails to 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(p &gt; 0.05)</w:t>
            </w:r>
          </w:p>
        </w:tc>
        <w:tc>
          <w:tcPr>
            <w:tcW w:w="1289" w:type="dxa"/>
            <w:tcBorders>
              <w:top w:val="nil"/>
              <w:left w:val="single" w:sz="12" w:space="0" w:color="auto"/>
              <w:bottom w:val="single" w:sz="18" w:space="0" w:color="auto"/>
              <w:right w:val="single" w:sz="18" w:space="0" w:color="auto"/>
            </w:tcBorders>
            <w:vAlign w:val="center"/>
          </w:tcPr>
          <w:p w14:paraId="4DEA8712"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w:t>
            </w:r>
            <w:r w:rsidRPr="00D85472">
              <w:rPr>
                <w:rFonts w:eastAsia="Times New Roman" w:cs="Times New Roman"/>
                <w:color w:val="000000"/>
                <w:sz w:val="20"/>
                <w:szCs w:val="20"/>
                <w:lang w:val="en-GB"/>
              </w:rPr>
              <w:br/>
              <w:t>(p &lt; 0.05)</w:t>
            </w:r>
          </w:p>
        </w:tc>
        <w:tc>
          <w:tcPr>
            <w:tcW w:w="1289" w:type="dxa"/>
            <w:tcBorders>
              <w:top w:val="nil"/>
              <w:left w:val="single" w:sz="12" w:space="0" w:color="auto"/>
              <w:bottom w:val="single" w:sz="18" w:space="0" w:color="auto"/>
              <w:right w:val="single" w:sz="18" w:space="0" w:color="auto"/>
            </w:tcBorders>
            <w:vAlign w:val="center"/>
          </w:tcPr>
          <w:p w14:paraId="394CA398"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fails to 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(p &gt; 0.05)</w:t>
            </w:r>
          </w:p>
        </w:tc>
        <w:tc>
          <w:tcPr>
            <w:tcW w:w="1289" w:type="dxa"/>
            <w:tcBorders>
              <w:top w:val="nil"/>
              <w:left w:val="single" w:sz="12" w:space="0" w:color="auto"/>
              <w:bottom w:val="single" w:sz="18" w:space="0" w:color="auto"/>
              <w:right w:val="single" w:sz="18" w:space="0" w:color="auto"/>
            </w:tcBorders>
            <w:vAlign w:val="center"/>
          </w:tcPr>
          <w:p w14:paraId="4C2CC0D4"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w:t>
            </w:r>
            <w:r w:rsidRPr="00D85472">
              <w:rPr>
                <w:rFonts w:eastAsia="Times New Roman" w:cs="Times New Roman"/>
                <w:color w:val="000000"/>
                <w:sz w:val="20"/>
                <w:szCs w:val="20"/>
                <w:lang w:val="en-GB"/>
              </w:rPr>
              <w:br/>
              <w:t>(p &lt; 0.05)</w:t>
            </w:r>
          </w:p>
        </w:tc>
        <w:tc>
          <w:tcPr>
            <w:tcW w:w="1289" w:type="dxa"/>
            <w:tcBorders>
              <w:top w:val="nil"/>
              <w:left w:val="single" w:sz="12" w:space="0" w:color="auto"/>
              <w:bottom w:val="single" w:sz="18" w:space="0" w:color="auto"/>
              <w:right w:val="single" w:sz="18" w:space="0" w:color="auto"/>
            </w:tcBorders>
            <w:vAlign w:val="center"/>
          </w:tcPr>
          <w:p w14:paraId="6BEE7136" w14:textId="77777777" w:rsidR="009263CE" w:rsidRPr="00D85472" w:rsidRDefault="009263CE" w:rsidP="0021557D">
            <w:pPr>
              <w:spacing w:after="0" w:line="240" w:lineRule="auto"/>
              <w:jc w:val="center"/>
              <w:rPr>
                <w:rFonts w:eastAsia="Times New Roman" w:cs="Times New Roman"/>
                <w:color w:val="000000"/>
                <w:sz w:val="20"/>
                <w:szCs w:val="20"/>
                <w:lang w:val="en-GB"/>
              </w:rPr>
            </w:pPr>
            <w:r w:rsidRPr="00D85472">
              <w:rPr>
                <w:rFonts w:eastAsia="Times New Roman" w:cs="Times New Roman"/>
                <w:color w:val="000000"/>
                <w:sz w:val="20"/>
                <w:szCs w:val="20"/>
                <w:lang w:val="en-GB"/>
              </w:rPr>
              <w:t>fails to reject H</w:t>
            </w:r>
            <w:r w:rsidRPr="00D85472">
              <w:rPr>
                <w:rFonts w:eastAsia="Times New Roman" w:cs="Times New Roman"/>
                <w:color w:val="000000"/>
                <w:sz w:val="20"/>
                <w:szCs w:val="20"/>
                <w:vertAlign w:val="subscript"/>
                <w:lang w:val="en-GB"/>
              </w:rPr>
              <w:t>0</w:t>
            </w:r>
            <w:r w:rsidRPr="00D85472">
              <w:rPr>
                <w:rFonts w:eastAsia="Times New Roman" w:cs="Times New Roman"/>
                <w:color w:val="000000"/>
                <w:sz w:val="20"/>
                <w:szCs w:val="20"/>
                <w:lang w:val="en-GB"/>
              </w:rPr>
              <w:t xml:space="preserve"> (p &gt; 0.05)</w:t>
            </w:r>
          </w:p>
        </w:tc>
      </w:tr>
      <w:tr w:rsidR="009263CE" w:rsidRPr="00D85472" w14:paraId="467CCF6D" w14:textId="77777777" w:rsidTr="0021557D">
        <w:trPr>
          <w:trHeight w:val="341"/>
          <w:jc w:val="center"/>
        </w:trPr>
        <w:tc>
          <w:tcPr>
            <w:tcW w:w="8627" w:type="dxa"/>
            <w:gridSpan w:val="6"/>
            <w:tcBorders>
              <w:top w:val="single" w:sz="18" w:space="0" w:color="auto"/>
            </w:tcBorders>
            <w:shd w:val="clear" w:color="auto" w:fill="auto"/>
            <w:noWrap/>
            <w:vAlign w:val="center"/>
          </w:tcPr>
          <w:p w14:paraId="25CD0D1D" w14:textId="77777777" w:rsidR="009263CE" w:rsidRPr="00D85472" w:rsidRDefault="009263CE" w:rsidP="0021557D">
            <w:pPr>
              <w:keepNext/>
              <w:spacing w:after="0" w:line="240" w:lineRule="auto"/>
              <w:rPr>
                <w:rFonts w:eastAsia="Times New Roman" w:cs="Times New Roman"/>
                <w:color w:val="000000"/>
                <w:sz w:val="20"/>
                <w:szCs w:val="20"/>
                <w:lang w:val="en-GB"/>
              </w:rPr>
            </w:pPr>
            <w:r w:rsidRPr="00D85472">
              <w:rPr>
                <w:rFonts w:eastAsia="Times New Roman" w:cs="Times New Roman"/>
                <w:color w:val="000000"/>
                <w:sz w:val="20"/>
                <w:szCs w:val="20"/>
                <w:lang w:val="en-GB"/>
              </w:rPr>
              <w:t>* p &lt; 0.1, ** p &lt; 0.05, *** p &lt; 0.01</w:t>
            </w:r>
          </w:p>
        </w:tc>
      </w:tr>
    </w:tbl>
    <w:p w14:paraId="30A63E2F" w14:textId="77777777" w:rsidR="00084A42" w:rsidRPr="00D85472" w:rsidRDefault="00084A42" w:rsidP="00084A42">
      <w:pPr>
        <w:rPr>
          <w:lang w:val="en-GB"/>
        </w:rPr>
      </w:pPr>
    </w:p>
    <w:sectPr w:rsidR="00084A42" w:rsidRPr="00D85472" w:rsidSect="00A374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DF7B0" w14:textId="77777777" w:rsidR="00456A29" w:rsidRDefault="00456A29" w:rsidP="0043746E">
      <w:pPr>
        <w:spacing w:after="0" w:line="240" w:lineRule="auto"/>
      </w:pPr>
      <w:r>
        <w:separator/>
      </w:r>
    </w:p>
  </w:endnote>
  <w:endnote w:type="continuationSeparator" w:id="0">
    <w:p w14:paraId="50D6B3AD" w14:textId="77777777" w:rsidR="00456A29" w:rsidRDefault="00456A29" w:rsidP="0043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37855" w14:textId="77777777" w:rsidR="00456A29" w:rsidRDefault="00456A29" w:rsidP="0043746E">
      <w:pPr>
        <w:spacing w:after="0" w:line="240" w:lineRule="auto"/>
      </w:pPr>
      <w:r>
        <w:separator/>
      </w:r>
    </w:p>
  </w:footnote>
  <w:footnote w:type="continuationSeparator" w:id="0">
    <w:p w14:paraId="09011CCB" w14:textId="77777777" w:rsidR="00456A29" w:rsidRDefault="00456A29" w:rsidP="0043746E">
      <w:pPr>
        <w:spacing w:after="0" w:line="240" w:lineRule="auto"/>
      </w:pPr>
      <w:r>
        <w:continuationSeparator/>
      </w:r>
    </w:p>
  </w:footnote>
  <w:footnote w:id="1">
    <w:p w14:paraId="13A8829D" w14:textId="01EC2C15" w:rsidR="00DB7ACB" w:rsidRDefault="00DB7ACB" w:rsidP="004D2925">
      <w:pPr>
        <w:pStyle w:val="Textpoznpodarou"/>
      </w:pPr>
      <w:r w:rsidRPr="004D2925">
        <w:rPr>
          <w:rStyle w:val="Znakapoznpodarou"/>
        </w:rPr>
        <w:footnoteRef/>
      </w:r>
      <w:r w:rsidRPr="004D2925">
        <w:t xml:space="preserve"> </w:t>
      </w:r>
      <w:r w:rsidRPr="004D2925">
        <w:rPr>
          <w:lang w:val="en-GB"/>
        </w:rPr>
        <w:t>The first, online approach showed to be inefficient since the response rate was very low (8 out of 200 sent emails</w:t>
      </w:r>
      <w:r w:rsidRPr="004D2925">
        <w:rPr>
          <w:rStyle w:val="Znakapoznpodarou"/>
          <w:rFonts w:cs="Times New Roman"/>
          <w:lang w:val="en-GB"/>
        </w:rPr>
        <w:footnoteRef/>
      </w:r>
      <w:r w:rsidRPr="004D2925">
        <w:rPr>
          <w:lang w:val="en-GB"/>
        </w:rPr>
        <w:t xml:space="preserve"> were received back with response). The rest of the survey was conducted in two Czech cities, Prague and Pilsen that were easily accessible areas for us. The survey was accomplished during January and February 2016. Meetings with heads of SVJ were arranged by phone calls. Phone numbers were collected either by browsing of given member of SVJ (ARES)</w:t>
      </w:r>
      <w:r w:rsidRPr="004D2925">
        <w:rPr>
          <w:rStyle w:val="Znakapoznpodarou"/>
          <w:rFonts w:cs="Times New Roman"/>
          <w:lang w:val="en-GB"/>
        </w:rPr>
        <w:footnoteRef/>
      </w:r>
      <w:r w:rsidRPr="004D2925">
        <w:rPr>
          <w:lang w:val="en-GB"/>
        </w:rPr>
        <w:t xml:space="preserve"> or obtained from facility management companies. Finally, the third and the most effective option for data collection relied on communication with facility management companies. Each of those companies</w:t>
      </w:r>
      <w:r w:rsidRPr="004D2925">
        <w:rPr>
          <w:rStyle w:val="Znakapoznpodarou"/>
          <w:rFonts w:cs="Times New Roman"/>
          <w:lang w:val="en-GB"/>
        </w:rPr>
        <w:footnoteRef/>
      </w:r>
      <w:r w:rsidRPr="004D2925">
        <w:rPr>
          <w:lang w:val="en-GB"/>
        </w:rPr>
        <w:t xml:space="preserve"> provided the documentation for at least three MFB. Every time, heads of SVJ had to be contacted to approve the supply of information. All of these companies were compliant to provide at least phone numbers to some SVJ members (usually 2-3 contacts) despite the annual breakdown deadline. Altogether the data we have obtained from each source forms 18 %, 27 % and 55 %, consecutively.</w:t>
      </w:r>
    </w:p>
  </w:footnote>
  <w:footnote w:id="2">
    <w:p w14:paraId="44AEAE03" w14:textId="2BE3F3F5" w:rsidR="00DB7ACB" w:rsidRPr="009B62DC" w:rsidRDefault="00DB7ACB">
      <w:pPr>
        <w:pStyle w:val="Textpoznpodarou"/>
        <w:rPr>
          <w:lang w:val="en-US"/>
        </w:rPr>
      </w:pPr>
      <w:r>
        <w:rPr>
          <w:rStyle w:val="Znakapoznpodarou"/>
        </w:rPr>
        <w:footnoteRef/>
      </w:r>
      <w:r>
        <w:t xml:space="preserve"> </w:t>
      </w:r>
      <w:r>
        <w:rPr>
          <w:rFonts w:cs="Times New Roman"/>
          <w:lang w:val="en-GB"/>
        </w:rPr>
        <w:t xml:space="preserve">FE regression gives us </w:t>
      </w:r>
      <w:r w:rsidRPr="00E9678B">
        <w:rPr>
          <w:rFonts w:cs="Times New Roman"/>
          <w:i/>
          <w:lang w:val="en-GB"/>
        </w:rPr>
        <w:t>within R-squared</w:t>
      </w:r>
      <w:r>
        <w:rPr>
          <w:rFonts w:cs="Times New Roman"/>
          <w:lang w:val="en-GB"/>
        </w:rPr>
        <w:t xml:space="preserve"> equalled to 0.91 indicating that approximately 91 % of the </w:t>
      </w:r>
      <w:r w:rsidRPr="004A6CF8">
        <w:rPr>
          <w:rFonts w:cs="Times New Roman"/>
          <w:i/>
          <w:lang w:val="en-GB"/>
        </w:rPr>
        <w:t>SECA</w:t>
      </w:r>
      <w:r>
        <w:rPr>
          <w:rFonts w:cs="Times New Roman"/>
          <w:lang w:val="en-GB"/>
        </w:rPr>
        <w:t xml:space="preserve"> variation within each apartment building in our dataset over the 6 years, eliminating fixed effects, is explained by the independent variables that are incorporated in model 1. Furthermore, </w:t>
      </w:r>
      <w:r w:rsidRPr="00612007">
        <w:rPr>
          <w:rFonts w:cs="Times New Roman"/>
          <w:i/>
          <w:lang w:val="en-GB"/>
        </w:rPr>
        <w:t>rho</w:t>
      </w:r>
      <w:r>
        <w:rPr>
          <w:rFonts w:cs="Times New Roman"/>
          <w:lang w:val="en-GB"/>
        </w:rPr>
        <w:t xml:space="preserve"> obtained from this FE regression, determining the ratio of total variance in </w:t>
      </w:r>
      <w:r w:rsidRPr="004A6CF8">
        <w:rPr>
          <w:rFonts w:cs="Times New Roman"/>
          <w:i/>
          <w:lang w:val="en-GB"/>
        </w:rPr>
        <w:t>SECA</w:t>
      </w:r>
      <w:r>
        <w:rPr>
          <w:rFonts w:cs="Times New Roman"/>
          <w:lang w:val="en-GB"/>
        </w:rPr>
        <w:t xml:space="preserve"> explained by the fixed effect </w:t>
      </w:r>
      <w:proofErr w:type="spellStart"/>
      <w:r w:rsidRPr="00607AB5">
        <w:rPr>
          <w:rFonts w:cs="Times New Roman"/>
          <w:i/>
          <w:lang w:val="en-GB"/>
        </w:rPr>
        <w:t>a</w:t>
      </w:r>
      <w:r w:rsidRPr="00607AB5">
        <w:rPr>
          <w:rFonts w:cs="Times New Roman"/>
          <w:i/>
          <w:vertAlign w:val="subscript"/>
          <w:lang w:val="en-GB"/>
        </w:rPr>
        <w:t>i</w:t>
      </w:r>
      <w:proofErr w:type="spellEnd"/>
      <w:r>
        <w:rPr>
          <w:rFonts w:cs="Times New Roman"/>
          <w:lang w:val="en-GB"/>
        </w:rPr>
        <w:t>, corresponds to the value of 0</w:t>
      </w:r>
      <w:r w:rsidRPr="00371D3F">
        <w:rPr>
          <w:rFonts w:cs="Times New Roman"/>
          <w:lang w:val="en-GB"/>
        </w:rPr>
        <w:t>.858</w:t>
      </w:r>
      <w:r>
        <w:rPr>
          <w:rFonts w:cs="Times New Roman"/>
          <w:lang w:val="en-GB"/>
        </w:rPr>
        <w:t xml:space="preserve">. It means that only about 14.2 % of total variation in </w:t>
      </w:r>
      <w:r w:rsidRPr="004A6CF8">
        <w:rPr>
          <w:rFonts w:cs="Times New Roman"/>
          <w:i/>
          <w:lang w:val="en-GB"/>
        </w:rPr>
        <w:t>SECA</w:t>
      </w:r>
      <w:r>
        <w:rPr>
          <w:rFonts w:cs="Times New Roman"/>
          <w:lang w:val="en-GB"/>
        </w:rPr>
        <w:t xml:space="preserve"> is due to the idiosyncratic error.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32"/>
    <w:rsid w:val="00084A42"/>
    <w:rsid w:val="00091EDC"/>
    <w:rsid w:val="000E3325"/>
    <w:rsid w:val="00195F64"/>
    <w:rsid w:val="003C13EA"/>
    <w:rsid w:val="003E0D32"/>
    <w:rsid w:val="00413715"/>
    <w:rsid w:val="0043746E"/>
    <w:rsid w:val="00456A29"/>
    <w:rsid w:val="004D2925"/>
    <w:rsid w:val="004F734D"/>
    <w:rsid w:val="00507025"/>
    <w:rsid w:val="006D0153"/>
    <w:rsid w:val="00716844"/>
    <w:rsid w:val="00741060"/>
    <w:rsid w:val="007E0F7E"/>
    <w:rsid w:val="0092208A"/>
    <w:rsid w:val="009263CE"/>
    <w:rsid w:val="00980BD9"/>
    <w:rsid w:val="009B62DC"/>
    <w:rsid w:val="00A37496"/>
    <w:rsid w:val="00AB0DA8"/>
    <w:rsid w:val="00AB2AD3"/>
    <w:rsid w:val="00B0048B"/>
    <w:rsid w:val="00BD0A4B"/>
    <w:rsid w:val="00D85472"/>
    <w:rsid w:val="00DA6A01"/>
    <w:rsid w:val="00DB7ACB"/>
    <w:rsid w:val="00FD20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DBEE9"/>
  <w15:docId w15:val="{79F52C54-6841-4B41-85C5-678D41BD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3749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E0D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0D32"/>
    <w:rPr>
      <w:rFonts w:ascii="Tahoma" w:hAnsi="Tahoma" w:cs="Tahoma"/>
      <w:sz w:val="16"/>
      <w:szCs w:val="16"/>
    </w:rPr>
  </w:style>
  <w:style w:type="character" w:styleId="Odkaznakoment">
    <w:name w:val="annotation reference"/>
    <w:basedOn w:val="Standardnpsmoodstavce"/>
    <w:uiPriority w:val="99"/>
    <w:semiHidden/>
    <w:unhideWhenUsed/>
    <w:rsid w:val="00FD20AB"/>
    <w:rPr>
      <w:sz w:val="16"/>
      <w:szCs w:val="16"/>
    </w:rPr>
  </w:style>
  <w:style w:type="paragraph" w:styleId="Textkomente">
    <w:name w:val="annotation text"/>
    <w:basedOn w:val="Normln"/>
    <w:link w:val="TextkomenteChar"/>
    <w:uiPriority w:val="99"/>
    <w:semiHidden/>
    <w:unhideWhenUsed/>
    <w:rsid w:val="00FD20AB"/>
    <w:pPr>
      <w:spacing w:line="240" w:lineRule="auto"/>
    </w:pPr>
    <w:rPr>
      <w:sz w:val="20"/>
      <w:szCs w:val="20"/>
    </w:rPr>
  </w:style>
  <w:style w:type="character" w:customStyle="1" w:styleId="TextkomenteChar">
    <w:name w:val="Text komentáře Char"/>
    <w:basedOn w:val="Standardnpsmoodstavce"/>
    <w:link w:val="Textkomente"/>
    <w:uiPriority w:val="99"/>
    <w:semiHidden/>
    <w:rsid w:val="00FD20AB"/>
    <w:rPr>
      <w:sz w:val="20"/>
      <w:szCs w:val="20"/>
    </w:rPr>
  </w:style>
  <w:style w:type="paragraph" w:styleId="Pedmtkomente">
    <w:name w:val="annotation subject"/>
    <w:basedOn w:val="Textkomente"/>
    <w:next w:val="Textkomente"/>
    <w:link w:val="PedmtkomenteChar"/>
    <w:uiPriority w:val="99"/>
    <w:semiHidden/>
    <w:unhideWhenUsed/>
    <w:rsid w:val="00FD20AB"/>
    <w:rPr>
      <w:b/>
      <w:bCs/>
    </w:rPr>
  </w:style>
  <w:style w:type="character" w:customStyle="1" w:styleId="PedmtkomenteChar">
    <w:name w:val="Předmět komentáře Char"/>
    <w:basedOn w:val="TextkomenteChar"/>
    <w:link w:val="Pedmtkomente"/>
    <w:uiPriority w:val="99"/>
    <w:semiHidden/>
    <w:rsid w:val="00FD20AB"/>
    <w:rPr>
      <w:b/>
      <w:bCs/>
      <w:sz w:val="20"/>
      <w:szCs w:val="20"/>
    </w:rPr>
  </w:style>
  <w:style w:type="paragraph" w:styleId="Textpoznpodarou">
    <w:name w:val="footnote text"/>
    <w:basedOn w:val="Normln"/>
    <w:link w:val="TextpoznpodarouChar"/>
    <w:autoRedefine/>
    <w:uiPriority w:val="99"/>
    <w:unhideWhenUsed/>
    <w:qFormat/>
    <w:rsid w:val="004D2925"/>
    <w:pPr>
      <w:spacing w:after="0" w:line="240" w:lineRule="auto"/>
      <w:jc w:val="both"/>
    </w:pPr>
    <w:rPr>
      <w:rFonts w:ascii="Times New Roman" w:hAnsi="Times New Roman"/>
      <w:sz w:val="18"/>
      <w:szCs w:val="20"/>
    </w:rPr>
  </w:style>
  <w:style w:type="character" w:customStyle="1" w:styleId="TextpoznpodarouChar">
    <w:name w:val="Text pozn. pod čarou Char"/>
    <w:basedOn w:val="Standardnpsmoodstavce"/>
    <w:link w:val="Textpoznpodarou"/>
    <w:uiPriority w:val="99"/>
    <w:rsid w:val="004D2925"/>
    <w:rPr>
      <w:rFonts w:ascii="Times New Roman" w:hAnsi="Times New Roman"/>
      <w:sz w:val="18"/>
      <w:szCs w:val="20"/>
    </w:rPr>
  </w:style>
  <w:style w:type="character" w:styleId="Znakapoznpodarou">
    <w:name w:val="footnote reference"/>
    <w:basedOn w:val="Standardnpsmoodstavce"/>
    <w:uiPriority w:val="99"/>
    <w:semiHidden/>
    <w:unhideWhenUsed/>
    <w:rsid w:val="0043746E"/>
    <w:rPr>
      <w:vertAlign w:val="superscript"/>
    </w:rPr>
  </w:style>
  <w:style w:type="paragraph" w:styleId="Titulek">
    <w:name w:val="caption"/>
    <w:basedOn w:val="Normln"/>
    <w:next w:val="Normln"/>
    <w:autoRedefine/>
    <w:uiPriority w:val="35"/>
    <w:unhideWhenUsed/>
    <w:qFormat/>
    <w:rsid w:val="004D2925"/>
    <w:pPr>
      <w:spacing w:before="240" w:after="0" w:line="360" w:lineRule="auto"/>
      <w:jc w:val="center"/>
    </w:pPr>
    <w:rPr>
      <w:rFonts w:ascii="Times New Roman" w:hAnsi="Times New Roman"/>
      <w:bCs/>
      <w:sz w:val="24"/>
      <w:szCs w:val="24"/>
    </w:rPr>
  </w:style>
  <w:style w:type="paragraph" w:customStyle="1" w:styleId="Default">
    <w:name w:val="Default"/>
    <w:rsid w:val="00AB2AD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odkaz">
    <w:name w:val="Hyperlink"/>
    <w:basedOn w:val="Standardnpsmoodstavce"/>
    <w:uiPriority w:val="99"/>
    <w:unhideWhenUsed/>
    <w:rsid w:val="00084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cka\Documents\VOJTA%20PC\bakalarka\baka%20template\ExcelBT.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39773874419544"/>
          <c:y val="7.5760441464135533E-2"/>
          <c:w val="0.67114233797698364"/>
          <c:h val="0.75533349276376061"/>
        </c:manualLayout>
      </c:layout>
      <c:scatterChart>
        <c:scatterStyle val="lineMarker"/>
        <c:varyColors val="0"/>
        <c:ser>
          <c:idx val="0"/>
          <c:order val="0"/>
          <c:tx>
            <c:strRef>
              <c:f>'EC before and after'!$B$1</c:f>
              <c:strCache>
                <c:ptCount val="1"/>
                <c:pt idx="0">
                  <c:v>before</c:v>
                </c:pt>
              </c:strCache>
            </c:strRef>
          </c:tx>
          <c:spPr>
            <a:ln w="28575">
              <a:noFill/>
            </a:ln>
          </c:spPr>
          <c:xVal>
            <c:numRef>
              <c:f>'EC before and after'!$A$2:$A$136</c:f>
              <c:numCache>
                <c:formatCode>General</c:formatCode>
                <c:ptCount val="1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numCache>
            </c:numRef>
          </c:xVal>
          <c:yVal>
            <c:numRef>
              <c:f>'EC before and after'!$B$2:$B$136</c:f>
              <c:numCache>
                <c:formatCode>General</c:formatCode>
                <c:ptCount val="135"/>
                <c:pt idx="0">
                  <c:v>0.48334677700000001</c:v>
                </c:pt>
                <c:pt idx="1">
                  <c:v>0.32817260700000001</c:v>
                </c:pt>
                <c:pt idx="2">
                  <c:v>0.53168557699999996</c:v>
                </c:pt>
                <c:pt idx="3">
                  <c:v>0.372442683</c:v>
                </c:pt>
                <c:pt idx="4">
                  <c:v>0.19772636800000001</c:v>
                </c:pt>
                <c:pt idx="5">
                  <c:v>0.45231100000000002</c:v>
                </c:pt>
                <c:pt idx="6">
                  <c:v>0.39724424600000002</c:v>
                </c:pt>
                <c:pt idx="7">
                  <c:v>0.48288570600000003</c:v>
                </c:pt>
                <c:pt idx="8">
                  <c:v>0.64644803500000003</c:v>
                </c:pt>
                <c:pt idx="9">
                  <c:v>0.242655805</c:v>
                </c:pt>
                <c:pt idx="10">
                  <c:v>0.35621268499999997</c:v>
                </c:pt>
                <c:pt idx="11">
                  <c:v>0.38002889299999998</c:v>
                </c:pt>
                <c:pt idx="12">
                  <c:v>0.55616200699999996</c:v>
                </c:pt>
                <c:pt idx="13">
                  <c:v>0.27317288200000001</c:v>
                </c:pt>
                <c:pt idx="14">
                  <c:v>0.31043500000000002</c:v>
                </c:pt>
                <c:pt idx="15">
                  <c:v>0.5</c:v>
                </c:pt>
                <c:pt idx="16">
                  <c:v>0.20130000000000001</c:v>
                </c:pt>
                <c:pt idx="17">
                  <c:v>0.15569899700000001</c:v>
                </c:pt>
                <c:pt idx="18">
                  <c:v>0.20138</c:v>
                </c:pt>
                <c:pt idx="19">
                  <c:v>0.40792069399999997</c:v>
                </c:pt>
                <c:pt idx="20">
                  <c:v>0.428486213</c:v>
                </c:pt>
                <c:pt idx="21">
                  <c:v>0.57034211999999995</c:v>
                </c:pt>
                <c:pt idx="22">
                  <c:v>0.56223563300000001</c:v>
                </c:pt>
                <c:pt idx="23">
                  <c:v>0.22794789400000001</c:v>
                </c:pt>
                <c:pt idx="24">
                  <c:v>0.21300981999999999</c:v>
                </c:pt>
                <c:pt idx="25">
                  <c:v>0.21030364400000001</c:v>
                </c:pt>
                <c:pt idx="26">
                  <c:v>0.34677999999999998</c:v>
                </c:pt>
                <c:pt idx="27">
                  <c:v>0.33768999999999999</c:v>
                </c:pt>
                <c:pt idx="28">
                  <c:v>0.32178400000000001</c:v>
                </c:pt>
                <c:pt idx="29">
                  <c:v>0.27868999999999999</c:v>
                </c:pt>
                <c:pt idx="30">
                  <c:v>0.36022579100000002</c:v>
                </c:pt>
                <c:pt idx="31">
                  <c:v>0.40871000000000002</c:v>
                </c:pt>
                <c:pt idx="32">
                  <c:v>0.42194758100000002</c:v>
                </c:pt>
                <c:pt idx="33">
                  <c:v>0.46537414300000002</c:v>
                </c:pt>
                <c:pt idx="34">
                  <c:v>0.410280594</c:v>
                </c:pt>
                <c:pt idx="35">
                  <c:v>0.47125846500000002</c:v>
                </c:pt>
                <c:pt idx="36">
                  <c:v>0.589941347</c:v>
                </c:pt>
                <c:pt idx="37">
                  <c:v>0.46625543400000002</c:v>
                </c:pt>
                <c:pt idx="38">
                  <c:v>0.48095918199999999</c:v>
                </c:pt>
                <c:pt idx="39">
                  <c:v>0.6054718</c:v>
                </c:pt>
                <c:pt idx="40">
                  <c:v>0.37019000000000002</c:v>
                </c:pt>
                <c:pt idx="41">
                  <c:v>0.20718690000000001</c:v>
                </c:pt>
                <c:pt idx="42">
                  <c:v>0.64927809999999997</c:v>
                </c:pt>
                <c:pt idx="43">
                  <c:v>0.24665283703996577</c:v>
                </c:pt>
                <c:pt idx="44">
                  <c:v>0.221745</c:v>
                </c:pt>
                <c:pt idx="45">
                  <c:v>0.48106064199999998</c:v>
                </c:pt>
                <c:pt idx="46">
                  <c:v>0.3559252</c:v>
                </c:pt>
                <c:pt idx="47">
                  <c:v>0.52546936799999999</c:v>
                </c:pt>
                <c:pt idx="48">
                  <c:v>0.45522300199999999</c:v>
                </c:pt>
                <c:pt idx="49">
                  <c:v>0.19772636800000001</c:v>
                </c:pt>
                <c:pt idx="50">
                  <c:v>0.43201099999999998</c:v>
                </c:pt>
                <c:pt idx="51">
                  <c:v>0.38669103300000002</c:v>
                </c:pt>
                <c:pt idx="52">
                  <c:v>0.48689423300000001</c:v>
                </c:pt>
                <c:pt idx="53">
                  <c:v>0.64644803500000003</c:v>
                </c:pt>
                <c:pt idx="54">
                  <c:v>0.242655805</c:v>
                </c:pt>
                <c:pt idx="55">
                  <c:v>0.35465427300000002</c:v>
                </c:pt>
                <c:pt idx="56">
                  <c:v>0.35715834699999999</c:v>
                </c:pt>
                <c:pt idx="57">
                  <c:v>0.55616200699999996</c:v>
                </c:pt>
                <c:pt idx="58">
                  <c:v>0.29007492099999999</c:v>
                </c:pt>
                <c:pt idx="59">
                  <c:v>0.3</c:v>
                </c:pt>
                <c:pt idx="60">
                  <c:v>0.47714284499999998</c:v>
                </c:pt>
                <c:pt idx="61">
                  <c:v>0.22</c:v>
                </c:pt>
                <c:pt idx="62">
                  <c:v>0.15569899700000001</c:v>
                </c:pt>
                <c:pt idx="63">
                  <c:v>0.193149353</c:v>
                </c:pt>
                <c:pt idx="64">
                  <c:v>0.40792069399999997</c:v>
                </c:pt>
                <c:pt idx="65">
                  <c:v>0.428486213</c:v>
                </c:pt>
                <c:pt idx="66">
                  <c:v>0.51105378899999998</c:v>
                </c:pt>
                <c:pt idx="67">
                  <c:v>0.49861824799999999</c:v>
                </c:pt>
                <c:pt idx="68">
                  <c:v>0.22592751899999999</c:v>
                </c:pt>
                <c:pt idx="69">
                  <c:v>0.18189127399999999</c:v>
                </c:pt>
                <c:pt idx="70">
                  <c:v>0.20356928099999999</c:v>
                </c:pt>
                <c:pt idx="71">
                  <c:v>0.33589000000000002</c:v>
                </c:pt>
                <c:pt idx="72">
                  <c:v>0.32567800000000002</c:v>
                </c:pt>
                <c:pt idx="73">
                  <c:v>0.33087899999999998</c:v>
                </c:pt>
                <c:pt idx="74">
                  <c:v>0.26341569999999997</c:v>
                </c:pt>
                <c:pt idx="75">
                  <c:v>0.37485244000000001</c:v>
                </c:pt>
                <c:pt idx="76">
                  <c:v>0.41850420199999999</c:v>
                </c:pt>
                <c:pt idx="77">
                  <c:v>0.45128617300000001</c:v>
                </c:pt>
                <c:pt idx="78">
                  <c:v>0.53192879400000004</c:v>
                </c:pt>
                <c:pt idx="79">
                  <c:v>0.390042585</c:v>
                </c:pt>
                <c:pt idx="80">
                  <c:v>0.397004315</c:v>
                </c:pt>
                <c:pt idx="81">
                  <c:v>0.59353761000000005</c:v>
                </c:pt>
                <c:pt idx="82">
                  <c:v>0.47341431899999997</c:v>
                </c:pt>
                <c:pt idx="83">
                  <c:v>0.42506361399999998</c:v>
                </c:pt>
                <c:pt idx="84">
                  <c:v>0.58103479999999996</c:v>
                </c:pt>
                <c:pt idx="85">
                  <c:v>0.35671999999999998</c:v>
                </c:pt>
                <c:pt idx="86">
                  <c:v>0.18678386199999999</c:v>
                </c:pt>
                <c:pt idx="87">
                  <c:v>0.66912221699999996</c:v>
                </c:pt>
                <c:pt idx="88">
                  <c:v>0.22692397103572082</c:v>
                </c:pt>
                <c:pt idx="89">
                  <c:v>0.23909301151721077</c:v>
                </c:pt>
                <c:pt idx="90">
                  <c:v>0.457173194</c:v>
                </c:pt>
                <c:pt idx="91">
                  <c:v>0.34570284800000001</c:v>
                </c:pt>
                <c:pt idx="92">
                  <c:v>0.48079949199999999</c:v>
                </c:pt>
                <c:pt idx="93">
                  <c:v>0.40314746899999998</c:v>
                </c:pt>
                <c:pt idx="94">
                  <c:v>0.19299198200000001</c:v>
                </c:pt>
                <c:pt idx="95">
                  <c:v>0.42525905800000002</c:v>
                </c:pt>
                <c:pt idx="96">
                  <c:v>0.36834133099999999</c:v>
                </c:pt>
                <c:pt idx="97">
                  <c:v>0.61529283199999996</c:v>
                </c:pt>
                <c:pt idx="98">
                  <c:v>0.54689158400000004</c:v>
                </c:pt>
                <c:pt idx="99">
                  <c:v>0.25688673899999998</c:v>
                </c:pt>
                <c:pt idx="100">
                  <c:v>0.34303935200000002</c:v>
                </c:pt>
                <c:pt idx="101">
                  <c:v>0.34589025899999998</c:v>
                </c:pt>
                <c:pt idx="102">
                  <c:v>0.363658594</c:v>
                </c:pt>
                <c:pt idx="103">
                  <c:v>0.264893512</c:v>
                </c:pt>
                <c:pt idx="104">
                  <c:v>0.29966786299999998</c:v>
                </c:pt>
                <c:pt idx="105">
                  <c:v>0.47850504700000002</c:v>
                </c:pt>
                <c:pt idx="106">
                  <c:v>0.21</c:v>
                </c:pt>
                <c:pt idx="107">
                  <c:v>0.14427036900000001</c:v>
                </c:pt>
                <c:pt idx="108">
                  <c:v>0.204984791</c:v>
                </c:pt>
                <c:pt idx="109">
                  <c:v>0.43987280600000001</c:v>
                </c:pt>
                <c:pt idx="110">
                  <c:v>0.46213240500000002</c:v>
                </c:pt>
                <c:pt idx="111">
                  <c:v>0.402086534</c:v>
                </c:pt>
                <c:pt idx="112">
                  <c:v>0.493668098</c:v>
                </c:pt>
                <c:pt idx="113">
                  <c:v>0.214523255</c:v>
                </c:pt>
                <c:pt idx="114">
                  <c:v>0.16424457000000001</c:v>
                </c:pt>
                <c:pt idx="115">
                  <c:v>0.201183787</c:v>
                </c:pt>
                <c:pt idx="116">
                  <c:v>0.33496357599999999</c:v>
                </c:pt>
                <c:pt idx="117">
                  <c:v>0.33496357599999999</c:v>
                </c:pt>
                <c:pt idx="118">
                  <c:v>0.32909870899999999</c:v>
                </c:pt>
                <c:pt idx="119">
                  <c:v>0.26766495800000001</c:v>
                </c:pt>
                <c:pt idx="120">
                  <c:v>0.38526144200000001</c:v>
                </c:pt>
                <c:pt idx="121">
                  <c:v>0.37502111500000002</c:v>
                </c:pt>
                <c:pt idx="122">
                  <c:v>0.41267546199999999</c:v>
                </c:pt>
                <c:pt idx="123">
                  <c:v>0.47121830300000001</c:v>
                </c:pt>
                <c:pt idx="124">
                  <c:v>0.38746204400000001</c:v>
                </c:pt>
                <c:pt idx="125">
                  <c:v>0.39984193499999998</c:v>
                </c:pt>
                <c:pt idx="126">
                  <c:v>0.59435866800000003</c:v>
                </c:pt>
                <c:pt idx="127">
                  <c:v>0.44153509400000002</c:v>
                </c:pt>
                <c:pt idx="128">
                  <c:v>0.37181386799999999</c:v>
                </c:pt>
                <c:pt idx="129">
                  <c:v>0.59051182400000002</c:v>
                </c:pt>
                <c:pt idx="130">
                  <c:v>0.36409017199999999</c:v>
                </c:pt>
                <c:pt idx="131">
                  <c:v>0.22820557999999999</c:v>
                </c:pt>
                <c:pt idx="132">
                  <c:v>0.50183686199999999</c:v>
                </c:pt>
                <c:pt idx="133">
                  <c:v>0.22836124970954433</c:v>
                </c:pt>
                <c:pt idx="134">
                  <c:v>0.21441173201053476</c:v>
                </c:pt>
              </c:numCache>
            </c:numRef>
          </c:yVal>
          <c:smooth val="0"/>
        </c:ser>
        <c:ser>
          <c:idx val="1"/>
          <c:order val="1"/>
          <c:tx>
            <c:strRef>
              <c:f>'EC before and after'!$C$1</c:f>
              <c:strCache>
                <c:ptCount val="1"/>
                <c:pt idx="0">
                  <c:v>after</c:v>
                </c:pt>
              </c:strCache>
            </c:strRef>
          </c:tx>
          <c:spPr>
            <a:ln w="28575">
              <a:noFill/>
            </a:ln>
          </c:spPr>
          <c:xVal>
            <c:numRef>
              <c:f>'EC before and after'!$A$2:$A$136</c:f>
              <c:numCache>
                <c:formatCode>General</c:formatCode>
                <c:ptCount val="13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pt idx="100">
                  <c:v>101</c:v>
                </c:pt>
                <c:pt idx="101">
                  <c:v>102</c:v>
                </c:pt>
                <c:pt idx="102">
                  <c:v>103</c:v>
                </c:pt>
                <c:pt idx="103">
                  <c:v>104</c:v>
                </c:pt>
                <c:pt idx="104">
                  <c:v>105</c:v>
                </c:pt>
                <c:pt idx="105">
                  <c:v>106</c:v>
                </c:pt>
                <c:pt idx="106">
                  <c:v>107</c:v>
                </c:pt>
                <c:pt idx="107">
                  <c:v>108</c:v>
                </c:pt>
                <c:pt idx="108">
                  <c:v>109</c:v>
                </c:pt>
                <c:pt idx="109">
                  <c:v>110</c:v>
                </c:pt>
                <c:pt idx="110">
                  <c:v>111</c:v>
                </c:pt>
                <c:pt idx="111">
                  <c:v>112</c:v>
                </c:pt>
                <c:pt idx="112">
                  <c:v>113</c:v>
                </c:pt>
                <c:pt idx="113">
                  <c:v>114</c:v>
                </c:pt>
                <c:pt idx="114">
                  <c:v>115</c:v>
                </c:pt>
                <c:pt idx="115">
                  <c:v>116</c:v>
                </c:pt>
                <c:pt idx="116">
                  <c:v>117</c:v>
                </c:pt>
                <c:pt idx="117">
                  <c:v>118</c:v>
                </c:pt>
                <c:pt idx="118">
                  <c:v>119</c:v>
                </c:pt>
                <c:pt idx="119">
                  <c:v>120</c:v>
                </c:pt>
                <c:pt idx="120">
                  <c:v>121</c:v>
                </c:pt>
                <c:pt idx="121">
                  <c:v>122</c:v>
                </c:pt>
                <c:pt idx="122">
                  <c:v>123</c:v>
                </c:pt>
                <c:pt idx="123">
                  <c:v>124</c:v>
                </c:pt>
                <c:pt idx="124">
                  <c:v>125</c:v>
                </c:pt>
                <c:pt idx="125">
                  <c:v>126</c:v>
                </c:pt>
                <c:pt idx="126">
                  <c:v>127</c:v>
                </c:pt>
                <c:pt idx="127">
                  <c:v>128</c:v>
                </c:pt>
                <c:pt idx="128">
                  <c:v>129</c:v>
                </c:pt>
                <c:pt idx="129">
                  <c:v>130</c:v>
                </c:pt>
                <c:pt idx="130">
                  <c:v>131</c:v>
                </c:pt>
                <c:pt idx="131">
                  <c:v>132</c:v>
                </c:pt>
                <c:pt idx="132">
                  <c:v>133</c:v>
                </c:pt>
                <c:pt idx="133">
                  <c:v>134</c:v>
                </c:pt>
                <c:pt idx="134">
                  <c:v>135</c:v>
                </c:pt>
              </c:numCache>
            </c:numRef>
          </c:xVal>
          <c:yVal>
            <c:numRef>
              <c:f>'EC before and after'!$C$2:$C$136</c:f>
              <c:numCache>
                <c:formatCode>General</c:formatCode>
                <c:ptCount val="135"/>
                <c:pt idx="0">
                  <c:v>0.40190165799999999</c:v>
                </c:pt>
                <c:pt idx="1">
                  <c:v>0.22129473199999999</c:v>
                </c:pt>
                <c:pt idx="2">
                  <c:v>0.35808453299999998</c:v>
                </c:pt>
                <c:pt idx="3">
                  <c:v>0.28491372599999998</c:v>
                </c:pt>
                <c:pt idx="4">
                  <c:v>0.13444987999999999</c:v>
                </c:pt>
                <c:pt idx="5">
                  <c:v>0.20083654300000001</c:v>
                </c:pt>
                <c:pt idx="6">
                  <c:v>0.166050693</c:v>
                </c:pt>
                <c:pt idx="7">
                  <c:v>0.35178620300000002</c:v>
                </c:pt>
                <c:pt idx="8">
                  <c:v>0.344469731</c:v>
                </c:pt>
                <c:pt idx="9">
                  <c:v>0.19666038599999999</c:v>
                </c:pt>
                <c:pt idx="10">
                  <c:v>0.27446165300000003</c:v>
                </c:pt>
                <c:pt idx="11">
                  <c:v>0.21163345</c:v>
                </c:pt>
                <c:pt idx="12">
                  <c:v>0.24186953999999999</c:v>
                </c:pt>
                <c:pt idx="13">
                  <c:v>0.14878892099999999</c:v>
                </c:pt>
                <c:pt idx="14">
                  <c:v>0.19141298200000001</c:v>
                </c:pt>
                <c:pt idx="15">
                  <c:v>0.32419780399999998</c:v>
                </c:pt>
                <c:pt idx="16">
                  <c:v>0.112233713</c:v>
                </c:pt>
                <c:pt idx="17">
                  <c:v>0.13439103299999999</c:v>
                </c:pt>
                <c:pt idx="18">
                  <c:v>0.13189656899999999</c:v>
                </c:pt>
                <c:pt idx="19">
                  <c:v>0.30561071499999998</c:v>
                </c:pt>
                <c:pt idx="20">
                  <c:v>0.32101822699999999</c:v>
                </c:pt>
                <c:pt idx="21">
                  <c:v>0.35604685800000002</c:v>
                </c:pt>
                <c:pt idx="22">
                  <c:v>0.41605441799999998</c:v>
                </c:pt>
                <c:pt idx="23">
                  <c:v>0.129085544</c:v>
                </c:pt>
                <c:pt idx="24">
                  <c:v>0.13498391000000001</c:v>
                </c:pt>
                <c:pt idx="25">
                  <c:v>0.133422454</c:v>
                </c:pt>
                <c:pt idx="26">
                  <c:v>0.260620884</c:v>
                </c:pt>
                <c:pt idx="27">
                  <c:v>0.260620884</c:v>
                </c:pt>
                <c:pt idx="28">
                  <c:v>0.228483203</c:v>
                </c:pt>
                <c:pt idx="29">
                  <c:v>0.20825869699999999</c:v>
                </c:pt>
                <c:pt idx="30">
                  <c:v>0.269298378</c:v>
                </c:pt>
                <c:pt idx="31">
                  <c:v>0.19933609799999999</c:v>
                </c:pt>
                <c:pt idx="32">
                  <c:v>0.22163934599999999</c:v>
                </c:pt>
                <c:pt idx="33">
                  <c:v>0.27379625499999999</c:v>
                </c:pt>
                <c:pt idx="34">
                  <c:v>0.27001344599999999</c:v>
                </c:pt>
                <c:pt idx="35">
                  <c:v>0.26817715399999997</c:v>
                </c:pt>
                <c:pt idx="36">
                  <c:v>0.38874370699999999</c:v>
                </c:pt>
                <c:pt idx="37">
                  <c:v>0.295828796</c:v>
                </c:pt>
                <c:pt idx="38">
                  <c:v>0.30500115799999999</c:v>
                </c:pt>
                <c:pt idx="39">
                  <c:v>0.43203817500000002</c:v>
                </c:pt>
                <c:pt idx="40">
                  <c:v>0.25363603899999998</c:v>
                </c:pt>
                <c:pt idx="41">
                  <c:v>0.15710622599999999</c:v>
                </c:pt>
                <c:pt idx="42">
                  <c:v>0.30876946300000002</c:v>
                </c:pt>
                <c:pt idx="43">
                  <c:v>0.16533188433062254</c:v>
                </c:pt>
                <c:pt idx="44">
                  <c:v>8.861789183450311E-2</c:v>
                </c:pt>
                <c:pt idx="45">
                  <c:v>0.25072907</c:v>
                </c:pt>
                <c:pt idx="46">
                  <c:v>0.18064739799999999</c:v>
                </c:pt>
                <c:pt idx="47">
                  <c:v>0.35975484000000002</c:v>
                </c:pt>
                <c:pt idx="48">
                  <c:v>0.27458144400000001</c:v>
                </c:pt>
                <c:pt idx="49">
                  <c:v>0.114897743</c:v>
                </c:pt>
                <c:pt idx="50">
                  <c:v>0.17528587700000001</c:v>
                </c:pt>
                <c:pt idx="51">
                  <c:v>0.15815153200000001</c:v>
                </c:pt>
                <c:pt idx="52">
                  <c:v>0.34714903600000002</c:v>
                </c:pt>
                <c:pt idx="53">
                  <c:v>0.36706108599999998</c:v>
                </c:pt>
                <c:pt idx="54">
                  <c:v>0.19065755200000001</c:v>
                </c:pt>
                <c:pt idx="55">
                  <c:v>0.29518055500000001</c:v>
                </c:pt>
                <c:pt idx="56">
                  <c:v>0.16690949199999999</c:v>
                </c:pt>
                <c:pt idx="57">
                  <c:v>0.22916761499999999</c:v>
                </c:pt>
                <c:pt idx="58">
                  <c:v>0.13018758999999999</c:v>
                </c:pt>
                <c:pt idx="59">
                  <c:v>0.11128200000000001</c:v>
                </c:pt>
                <c:pt idx="60">
                  <c:v>0.31908998599999999</c:v>
                </c:pt>
                <c:pt idx="61">
                  <c:v>9.6489380999999999E-2</c:v>
                </c:pt>
                <c:pt idx="62">
                  <c:v>0.13439103299999999</c:v>
                </c:pt>
                <c:pt idx="63">
                  <c:v>0.120238531</c:v>
                </c:pt>
                <c:pt idx="64">
                  <c:v>0.27206116000000002</c:v>
                </c:pt>
                <c:pt idx="65">
                  <c:v>0.28577725500000001</c:v>
                </c:pt>
                <c:pt idx="66">
                  <c:v>0.31252123900000001</c:v>
                </c:pt>
                <c:pt idx="67">
                  <c:v>0.43127819699999997</c:v>
                </c:pt>
                <c:pt idx="68">
                  <c:v>0.13657450300000001</c:v>
                </c:pt>
                <c:pt idx="69">
                  <c:v>0.14217280199999999</c:v>
                </c:pt>
                <c:pt idx="70">
                  <c:v>0.157886788</c:v>
                </c:pt>
                <c:pt idx="71">
                  <c:v>0.24517085399999999</c:v>
                </c:pt>
                <c:pt idx="72">
                  <c:v>0.24517085399999999</c:v>
                </c:pt>
                <c:pt idx="73">
                  <c:v>0.219178082</c:v>
                </c:pt>
                <c:pt idx="74">
                  <c:v>0.19591278300000001</c:v>
                </c:pt>
                <c:pt idx="75">
                  <c:v>0.28753502399999997</c:v>
                </c:pt>
                <c:pt idx="76">
                  <c:v>0.21324558499999999</c:v>
                </c:pt>
                <c:pt idx="77">
                  <c:v>0.222146067</c:v>
                </c:pt>
                <c:pt idx="78">
                  <c:v>0.29505691099999998</c:v>
                </c:pt>
                <c:pt idx="79">
                  <c:v>0.249387676</c:v>
                </c:pt>
                <c:pt idx="80">
                  <c:v>0.27053152200000002</c:v>
                </c:pt>
                <c:pt idx="81">
                  <c:v>0.41843956999999998</c:v>
                </c:pt>
                <c:pt idx="82">
                  <c:v>0.28982689</c:v>
                </c:pt>
                <c:pt idx="83">
                  <c:v>0.30754596200000001</c:v>
                </c:pt>
                <c:pt idx="84">
                  <c:v>0.44915327500000002</c:v>
                </c:pt>
                <c:pt idx="85">
                  <c:v>0.24168060299999999</c:v>
                </c:pt>
                <c:pt idx="86">
                  <c:v>0.13187453499999999</c:v>
                </c:pt>
                <c:pt idx="87">
                  <c:v>0.31553083900000001</c:v>
                </c:pt>
                <c:pt idx="88">
                  <c:v>0.14178820606175099</c:v>
                </c:pt>
                <c:pt idx="89">
                  <c:v>8.1014143009630682E-2</c:v>
                </c:pt>
                <c:pt idx="90">
                  <c:v>0.25960118100000001</c:v>
                </c:pt>
                <c:pt idx="91">
                  <c:v>0.22718347</c:v>
                </c:pt>
                <c:pt idx="92">
                  <c:v>0.35723652500000003</c:v>
                </c:pt>
                <c:pt idx="93">
                  <c:v>0.28115457900000002</c:v>
                </c:pt>
                <c:pt idx="94">
                  <c:v>0.21909577</c:v>
                </c:pt>
                <c:pt idx="95">
                  <c:v>0.17528587700000001</c:v>
                </c:pt>
                <c:pt idx="96">
                  <c:v>0.15955339900000001</c:v>
                </c:pt>
                <c:pt idx="97">
                  <c:v>0.32567407199999998</c:v>
                </c:pt>
                <c:pt idx="98">
                  <c:v>0.36732928599999998</c:v>
                </c:pt>
                <c:pt idx="99">
                  <c:v>0.17477237300000001</c:v>
                </c:pt>
                <c:pt idx="100">
                  <c:v>0.20415746100000001</c:v>
                </c:pt>
                <c:pt idx="101">
                  <c:v>0.18819587600000001</c:v>
                </c:pt>
                <c:pt idx="102">
                  <c:v>0.221914787</c:v>
                </c:pt>
                <c:pt idx="103">
                  <c:v>0.15686799700000001</c:v>
                </c:pt>
                <c:pt idx="104">
                  <c:v>0.101298</c:v>
                </c:pt>
                <c:pt idx="105">
                  <c:v>0.326830968</c:v>
                </c:pt>
                <c:pt idx="106">
                  <c:v>0.13649156200000001</c:v>
                </c:pt>
                <c:pt idx="107">
                  <c:v>0.12559999999999999</c:v>
                </c:pt>
                <c:pt idx="108">
                  <c:v>0.11987</c:v>
                </c:pt>
                <c:pt idx="109">
                  <c:v>0.29194783000000002</c:v>
                </c:pt>
                <c:pt idx="110">
                  <c:v>0.30666329399999998</c:v>
                </c:pt>
                <c:pt idx="111">
                  <c:v>0.33459593700000001</c:v>
                </c:pt>
                <c:pt idx="112">
                  <c:v>0.35803041200000002</c:v>
                </c:pt>
                <c:pt idx="113">
                  <c:v>0.12717731900000001</c:v>
                </c:pt>
                <c:pt idx="114">
                  <c:v>0.13463940999999999</c:v>
                </c:pt>
                <c:pt idx="115">
                  <c:v>0.14637800000000001</c:v>
                </c:pt>
                <c:pt idx="116">
                  <c:v>0.24087900000000001</c:v>
                </c:pt>
                <c:pt idx="117">
                  <c:v>0.240897</c:v>
                </c:pt>
                <c:pt idx="118">
                  <c:v>0.207651</c:v>
                </c:pt>
                <c:pt idx="119">
                  <c:v>0.19067799999999999</c:v>
                </c:pt>
                <c:pt idx="120">
                  <c:v>0.31210515599999999</c:v>
                </c:pt>
                <c:pt idx="121">
                  <c:v>0.19878702000000001</c:v>
                </c:pt>
                <c:pt idx="122">
                  <c:v>0.21556599600000001</c:v>
                </c:pt>
                <c:pt idx="123">
                  <c:v>0.34244539099999999</c:v>
                </c:pt>
                <c:pt idx="124">
                  <c:v>0.30546416700000001</c:v>
                </c:pt>
                <c:pt idx="125">
                  <c:v>0.30318734000000003</c:v>
                </c:pt>
                <c:pt idx="126">
                  <c:v>0.37316953899999999</c:v>
                </c:pt>
                <c:pt idx="127">
                  <c:v>0.33146989199999999</c:v>
                </c:pt>
                <c:pt idx="128">
                  <c:v>0.31937926700000002</c:v>
                </c:pt>
                <c:pt idx="129">
                  <c:v>0.51827774500000001</c:v>
                </c:pt>
                <c:pt idx="130">
                  <c:v>0.25006966000000003</c:v>
                </c:pt>
                <c:pt idx="131">
                  <c:v>0.12679528600000001</c:v>
                </c:pt>
                <c:pt idx="132">
                  <c:v>0.375202496</c:v>
                </c:pt>
                <c:pt idx="133">
                  <c:v>0.14347956637708478</c:v>
                </c:pt>
                <c:pt idx="134">
                  <c:v>8.3909999999999998E-2</c:v>
                </c:pt>
              </c:numCache>
            </c:numRef>
          </c:yVal>
          <c:smooth val="0"/>
        </c:ser>
        <c:dLbls>
          <c:showLegendKey val="0"/>
          <c:showVal val="0"/>
          <c:showCatName val="0"/>
          <c:showSerName val="0"/>
          <c:showPercent val="0"/>
          <c:showBubbleSize val="0"/>
        </c:dLbls>
        <c:axId val="374262112"/>
        <c:axId val="374262504"/>
      </c:scatterChart>
      <c:valAx>
        <c:axId val="374262112"/>
        <c:scaling>
          <c:orientation val="minMax"/>
        </c:scaling>
        <c:delete val="0"/>
        <c:axPos val="b"/>
        <c:title>
          <c:tx>
            <c:rich>
              <a:bodyPr/>
              <a:lstStyle/>
              <a:p>
                <a:pPr>
                  <a:defRPr/>
                </a:pPr>
                <a:r>
                  <a:rPr lang="cs-CZ"/>
                  <a:t>Observations</a:t>
                </a:r>
                <a:endParaRPr lang="en-US"/>
              </a:p>
            </c:rich>
          </c:tx>
          <c:layout>
            <c:manualLayout>
              <c:xMode val="edge"/>
              <c:yMode val="edge"/>
              <c:x val="0.35152173361513944"/>
              <c:y val="0.92944251557417623"/>
            </c:manualLayout>
          </c:layout>
          <c:overlay val="0"/>
        </c:title>
        <c:numFmt formatCode="General" sourceLinked="1"/>
        <c:majorTickMark val="out"/>
        <c:minorTickMark val="none"/>
        <c:tickLblPos val="nextTo"/>
        <c:crossAx val="374262504"/>
        <c:crosses val="autoZero"/>
        <c:crossBetween val="midCat"/>
      </c:valAx>
      <c:valAx>
        <c:axId val="374262504"/>
        <c:scaling>
          <c:orientation val="minMax"/>
        </c:scaling>
        <c:delete val="0"/>
        <c:axPos val="l"/>
        <c:majorGridlines/>
        <c:title>
          <c:tx>
            <c:rich>
              <a:bodyPr rot="-5400000" vert="horz"/>
              <a:lstStyle/>
              <a:p>
                <a:pPr>
                  <a:defRPr/>
                </a:pPr>
                <a:r>
                  <a:rPr lang="cs-CZ"/>
                  <a:t>SECA</a:t>
                </a:r>
                <a:r>
                  <a:rPr lang="cs-CZ" baseline="0"/>
                  <a:t> (</a:t>
                </a:r>
                <a:r>
                  <a:rPr lang="cs-CZ"/>
                  <a:t>GJ/m2/year)</a:t>
                </a:r>
                <a:endParaRPr lang="en-US"/>
              </a:p>
            </c:rich>
          </c:tx>
          <c:layout>
            <c:manualLayout>
              <c:xMode val="edge"/>
              <c:yMode val="edge"/>
              <c:x val="1.5514569319045857E-3"/>
              <c:y val="0.3371582630918144"/>
            </c:manualLayout>
          </c:layout>
          <c:overlay val="0"/>
        </c:title>
        <c:numFmt formatCode="General" sourceLinked="1"/>
        <c:majorTickMark val="out"/>
        <c:minorTickMark val="none"/>
        <c:tickLblPos val="nextTo"/>
        <c:crossAx val="374262112"/>
        <c:crosses val="autoZero"/>
        <c:crossBetween val="midCat"/>
      </c:valAx>
    </c:plotArea>
    <c:legend>
      <c:legendPos val="r"/>
      <c:layout>
        <c:manualLayout>
          <c:xMode val="edge"/>
          <c:yMode val="edge"/>
          <c:x val="0.79542795417720802"/>
          <c:y val="0.4486699206716081"/>
          <c:w val="0.11281970522915405"/>
          <c:h val="0.14723998361243276"/>
        </c:manualLayout>
      </c:layout>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[ExcelBT.xlsx]Milan2!$K$1</c:f>
              <c:strCache>
                <c:ptCount val="1"/>
                <c:pt idx="0">
                  <c:v>after</c:v>
                </c:pt>
              </c:strCache>
            </c:strRef>
          </c:tx>
          <c:spPr>
            <a:ln w="28575">
              <a:noFill/>
            </a:ln>
          </c:spPr>
          <c:trendline>
            <c:trendlineType val="linear"/>
            <c:dispRSqr val="1"/>
            <c:dispEq val="1"/>
            <c:trendlineLbl>
              <c:layout>
                <c:manualLayout>
                  <c:x val="0.1452607174103237"/>
                  <c:y val="0.15518482064741906"/>
                </c:manualLayout>
              </c:layout>
              <c:tx>
                <c:rich>
                  <a:bodyPr/>
                  <a:lstStyle/>
                  <a:p>
                    <a:pPr>
                      <a:defRPr/>
                    </a:pPr>
                    <a:r>
                      <a:rPr lang="en-US" sz="900" baseline="0"/>
                      <a:t>y = 0.636x + 0.0017
R² = 0.7988</a:t>
                    </a:r>
                    <a:endParaRPr lang="en-US" sz="900"/>
                  </a:p>
                </c:rich>
              </c:tx>
              <c:numFmt formatCode="General" sourceLinked="0"/>
            </c:trendlineLbl>
          </c:trendline>
          <c:xVal>
            <c:numRef>
              <c:f>[ExcelBT.xlsx]Milan2!$J$2:$J$46</c:f>
              <c:numCache>
                <c:formatCode>General</c:formatCode>
                <c:ptCount val="45"/>
                <c:pt idx="0">
                  <c:v>0.15188945433333334</c:v>
                </c:pt>
                <c:pt idx="1">
                  <c:v>0.186381888</c:v>
                </c:pt>
                <c:pt idx="2">
                  <c:v>0.19614823933333336</c:v>
                </c:pt>
                <c:pt idx="3">
                  <c:v>0.19983804800000002</c:v>
                </c:pt>
                <c:pt idx="4">
                  <c:v>0.205018904</c:v>
                </c:pt>
                <c:pt idx="5">
                  <c:v>0.20739211400000002</c:v>
                </c:pt>
                <c:pt idx="6">
                  <c:v>0.21043333333333333</c:v>
                </c:pt>
                <c:pt idx="7">
                  <c:v>0.22279955600000001</c:v>
                </c:pt>
                <c:pt idx="8">
                  <c:v>0.22508324784258185</c:v>
                </c:pt>
                <c:pt idx="9">
                  <c:v>0.23397935259507696</c:v>
                </c:pt>
                <c:pt idx="10">
                  <c:v>0.24739944966666663</c:v>
                </c:pt>
                <c:pt idx="11">
                  <c:v>0.26992355266666668</c:v>
                </c:pt>
                <c:pt idx="12">
                  <c:v>0.27604710500000001</c:v>
                </c:pt>
                <c:pt idx="13">
                  <c:v>0.30336762100000003</c:v>
                </c:pt>
                <c:pt idx="14">
                  <c:v>0.32725390299999996</c:v>
                </c:pt>
                <c:pt idx="15">
                  <c:v>0.332777192</c:v>
                </c:pt>
                <c:pt idx="16">
                  <c:v>0.33921119199999999</c:v>
                </c:pt>
                <c:pt idx="17">
                  <c:v>0.34326688500000002</c:v>
                </c:pt>
                <c:pt idx="18">
                  <c:v>0.35130210333333328</c:v>
                </c:pt>
                <c:pt idx="19">
                  <c:v>0.36102583299999996</c:v>
                </c:pt>
                <c:pt idx="20">
                  <c:v>0.363666724</c:v>
                </c:pt>
                <c:pt idx="21">
                  <c:v>0.37344655766666673</c:v>
                </c:pt>
                <c:pt idx="22">
                  <c:v>0.38409220333333333</c:v>
                </c:pt>
                <c:pt idx="23">
                  <c:v>0.3959284076666667</c:v>
                </c:pt>
                <c:pt idx="24">
                  <c:v>0.40074510566666666</c:v>
                </c:pt>
                <c:pt idx="25">
                  <c:v>0.41027105133333325</c:v>
                </c:pt>
                <c:pt idx="26">
                  <c:v>0.41857139799999993</c:v>
                </c:pt>
                <c:pt idx="27">
                  <c:v>0.42270157166666666</c:v>
                </c:pt>
                <c:pt idx="28">
                  <c:v>0.42594555466666667</c:v>
                </c:pt>
                <c:pt idx="29">
                  <c:v>0.42863640533333336</c:v>
                </c:pt>
                <c:pt idx="30">
                  <c:v>0.43652701933333332</c:v>
                </c:pt>
                <c:pt idx="31">
                  <c:v>0.43970161033333333</c:v>
                </c:pt>
                <c:pt idx="32">
                  <c:v>0.46040161566666665</c:v>
                </c:pt>
                <c:pt idx="33">
                  <c:v>0.47386020433333337</c:v>
                </c:pt>
                <c:pt idx="34">
                  <c:v>0.485215964</c:v>
                </c:pt>
                <c:pt idx="35">
                  <c:v>0.48950708000000004</c:v>
                </c:pt>
                <c:pt idx="36">
                  <c:v>0.4919942026666666</c:v>
                </c:pt>
                <c:pt idx="37">
                  <c:v>0.49449414766666661</c:v>
                </c:pt>
                <c:pt idx="38">
                  <c:v>0.51265147899999997</c:v>
                </c:pt>
                <c:pt idx="39">
                  <c:v>0.518173993</c:v>
                </c:pt>
                <c:pt idx="40">
                  <c:v>0.5283575903333334</c:v>
                </c:pt>
                <c:pt idx="41">
                  <c:v>0.5923394746666667</c:v>
                </c:pt>
                <c:pt idx="42">
                  <c:v>0.59261254166666666</c:v>
                </c:pt>
                <c:pt idx="43">
                  <c:v>0.60674572633333335</c:v>
                </c:pt>
                <c:pt idx="44">
                  <c:v>0.61326255133333341</c:v>
                </c:pt>
              </c:numCache>
            </c:numRef>
          </c:xVal>
          <c:yVal>
            <c:numRef>
              <c:f>[ExcelBT.xlsx]Milan2!$K$2:$K$46</c:f>
              <c:numCache>
                <c:formatCode>General</c:formatCode>
                <c:ptCount val="45"/>
                <c:pt idx="0">
                  <c:v>0.13146068866666666</c:v>
                </c:pt>
                <c:pt idx="1">
                  <c:v>0.13726537400000002</c:v>
                </c:pt>
                <c:pt idx="2">
                  <c:v>0.15614779766666667</c:v>
                </c:pt>
                <c:pt idx="3">
                  <c:v>0.12400169999999999</c:v>
                </c:pt>
                <c:pt idx="4">
                  <c:v>0.14589574733333333</c:v>
                </c:pt>
                <c:pt idx="5">
                  <c:v>0.13859201566666665</c:v>
                </c:pt>
                <c:pt idx="6">
                  <c:v>0.11507155200000001</c:v>
                </c:pt>
                <c:pt idx="7">
                  <c:v>0.13094578866666667</c:v>
                </c:pt>
                <c:pt idx="8">
                  <c:v>8.4514011614711268E-2</c:v>
                </c:pt>
                <c:pt idx="9">
                  <c:v>0.15019988558981945</c:v>
                </c:pt>
                <c:pt idx="10">
                  <c:v>0.18736343700000002</c:v>
                </c:pt>
                <c:pt idx="11">
                  <c:v>0.19828316000000001</c:v>
                </c:pt>
                <c:pt idx="12">
                  <c:v>0.14528150266666665</c:v>
                </c:pt>
                <c:pt idx="13">
                  <c:v>0.13466432733333333</c:v>
                </c:pt>
                <c:pt idx="14">
                  <c:v>0.21843742833333335</c:v>
                </c:pt>
                <c:pt idx="15">
                  <c:v>0.24889624600000002</c:v>
                </c:pt>
                <c:pt idx="16">
                  <c:v>0.24889024599999998</c:v>
                </c:pt>
                <c:pt idx="17">
                  <c:v>0.20970853333333336</c:v>
                </c:pt>
                <c:pt idx="18">
                  <c:v>0.25793322300000004</c:v>
                </c:pt>
                <c:pt idx="19">
                  <c:v>0.18891293933333334</c:v>
                </c:pt>
                <c:pt idx="20">
                  <c:v>0.24846210066666666</c:v>
                </c:pt>
                <c:pt idx="21">
                  <c:v>0.28964618599999997</c:v>
                </c:pt>
                <c:pt idx="22">
                  <c:v>0.16125187466666668</c:v>
                </c:pt>
                <c:pt idx="23">
                  <c:v>0.27495509633333332</c:v>
                </c:pt>
                <c:pt idx="24">
                  <c:v>0.20378956766666667</c:v>
                </c:pt>
                <c:pt idx="25">
                  <c:v>0.28021658300000002</c:v>
                </c:pt>
                <c:pt idx="26">
                  <c:v>0.28987323500000001</c:v>
                </c:pt>
                <c:pt idx="27">
                  <c:v>0.28063200533333332</c:v>
                </c:pt>
                <c:pt idx="28">
                  <c:v>0.31064212900000004</c:v>
                </c:pt>
                <c:pt idx="29">
                  <c:v>0.219783803</c:v>
                </c:pt>
                <c:pt idx="30">
                  <c:v>0.18380276566666667</c:v>
                </c:pt>
                <c:pt idx="31">
                  <c:v>0.30448625866666662</c:v>
                </c:pt>
                <c:pt idx="32">
                  <c:v>0.30570852599999998</c:v>
                </c:pt>
                <c:pt idx="33">
                  <c:v>0.30407730299999997</c:v>
                </c:pt>
                <c:pt idx="34">
                  <c:v>0.32337291933333334</c:v>
                </c:pt>
                <c:pt idx="35">
                  <c:v>0.30376618566666669</c:v>
                </c:pt>
                <c:pt idx="36">
                  <c:v>0.23098398066666667</c:v>
                </c:pt>
                <c:pt idx="37">
                  <c:v>0.33438801133333335</c:v>
                </c:pt>
                <c:pt idx="38">
                  <c:v>0.35835863266666673</c:v>
                </c:pt>
                <c:pt idx="39">
                  <c:v>0.40178767566666668</c:v>
                </c:pt>
                <c:pt idx="40">
                  <c:v>0.34153643700000003</c:v>
                </c:pt>
                <c:pt idx="41">
                  <c:v>0.46648973166666668</c:v>
                </c:pt>
                <c:pt idx="42">
                  <c:v>0.39345093866666669</c:v>
                </c:pt>
                <c:pt idx="43">
                  <c:v>0.33316759933333334</c:v>
                </c:pt>
                <c:pt idx="44">
                  <c:v>0.35962003433333334</c:v>
                </c:pt>
              </c:numCache>
            </c:numRef>
          </c:yVal>
          <c:smooth val="0"/>
        </c:ser>
        <c:dLbls>
          <c:showLegendKey val="0"/>
          <c:showVal val="0"/>
          <c:showCatName val="0"/>
          <c:showSerName val="0"/>
          <c:showPercent val="0"/>
          <c:showBubbleSize val="0"/>
        </c:dLbls>
        <c:axId val="374263288"/>
        <c:axId val="454657048"/>
      </c:scatterChart>
      <c:valAx>
        <c:axId val="374263288"/>
        <c:scaling>
          <c:orientation val="minMax"/>
          <c:max val="0.7000000000000004"/>
          <c:min val="0"/>
        </c:scaling>
        <c:delete val="0"/>
        <c:axPos val="b"/>
        <c:title>
          <c:tx>
            <c:rich>
              <a:bodyPr/>
              <a:lstStyle/>
              <a:p>
                <a:pPr>
                  <a:defRPr/>
                </a:pPr>
                <a:r>
                  <a:rPr lang="en-US"/>
                  <a:t>SECA before, GJ/m2</a:t>
                </a:r>
                <a:endParaRPr lang="cs-CZ"/>
              </a:p>
            </c:rich>
          </c:tx>
          <c:overlay val="0"/>
        </c:title>
        <c:numFmt formatCode="General" sourceLinked="1"/>
        <c:majorTickMark val="out"/>
        <c:minorTickMark val="none"/>
        <c:tickLblPos val="nextTo"/>
        <c:crossAx val="454657048"/>
        <c:crosses val="autoZero"/>
        <c:crossBetween val="midCat"/>
        <c:majorUnit val="0.1"/>
      </c:valAx>
      <c:valAx>
        <c:axId val="454657048"/>
        <c:scaling>
          <c:orientation val="minMax"/>
          <c:max val="0.7000000000000004"/>
        </c:scaling>
        <c:delete val="0"/>
        <c:axPos val="l"/>
        <c:majorGridlines/>
        <c:title>
          <c:tx>
            <c:rich>
              <a:bodyPr rot="-5400000" vert="horz"/>
              <a:lstStyle/>
              <a:p>
                <a:pPr>
                  <a:defRPr/>
                </a:pPr>
                <a:r>
                  <a:rPr lang="en-US"/>
                  <a:t>SECA after, GJ/m2</a:t>
                </a:r>
              </a:p>
            </c:rich>
          </c:tx>
          <c:overlay val="0"/>
        </c:title>
        <c:numFmt formatCode="General" sourceLinked="1"/>
        <c:majorTickMark val="out"/>
        <c:minorTickMark val="none"/>
        <c:tickLblPos val="nextTo"/>
        <c:crossAx val="374263288"/>
        <c:crosses val="autoZero"/>
        <c:crossBetween val="midCat"/>
      </c:valAx>
    </c:plotArea>
    <c:plotVisOnly val="1"/>
    <c:dispBlanksAs val="gap"/>
    <c:showDLblsOverMax val="0"/>
  </c:chart>
  <c:spPr>
    <a:noFill/>
    <a:ln>
      <a:noFill/>
    </a:ln>
  </c:sp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5B60C-DB52-4F4B-BD8D-6B5A4ABA9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10</Pages>
  <Words>2671</Words>
  <Characters>15762</Characters>
  <Application>Microsoft Office Word</Application>
  <DocSecurity>0</DocSecurity>
  <Lines>131</Lines>
  <Paragraphs>36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18397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czpscasny</dc:creator>
  <cp:lastModifiedBy>czpscasny</cp:lastModifiedBy>
  <cp:revision>6</cp:revision>
  <dcterms:created xsi:type="dcterms:W3CDTF">2016-09-25T17:08:00Z</dcterms:created>
  <dcterms:modified xsi:type="dcterms:W3CDTF">2016-09-26T14:58:00Z</dcterms:modified>
</cp:coreProperties>
</file>